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DB24BD" w:rsidRDefault="003A2E8C"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4C52B8" w:rsidRPr="00DB24BD" w:rsidRDefault="004C52B8" w:rsidP="004C52B8">
      <w:pPr>
        <w:pStyle w:val="NoSpacing"/>
        <w:jc w:val="center"/>
        <w:rPr>
          <w:rFonts w:cstheme="minorHAnsi"/>
          <w:b/>
          <w:color w:val="2E74B5" w:themeColor="accent1" w:themeShade="BF"/>
          <w:sz w:val="24"/>
          <w:szCs w:val="24"/>
        </w:rPr>
      </w:pPr>
      <w:r w:rsidRPr="00DB24BD">
        <w:rPr>
          <w:rFonts w:cstheme="minorHAnsi"/>
          <w:b/>
          <w:color w:val="2E74B5" w:themeColor="accent1" w:themeShade="BF"/>
          <w:sz w:val="24"/>
          <w:szCs w:val="24"/>
        </w:rPr>
        <w:t>Explanatory Note Summarizing the information on the Medium-term Forecast Reconciliation and New Policy Directions reflected in the 2022 draft State Budget Law Package</w:t>
      </w:r>
    </w:p>
    <w:p w:rsidR="00EB7135" w:rsidRPr="00DB24BD" w:rsidRDefault="00EB7135" w:rsidP="0041284B">
      <w:pPr>
        <w:pStyle w:val="NoSpacing"/>
        <w:jc w:val="center"/>
        <w:rPr>
          <w:rFonts w:cstheme="minorHAnsi"/>
          <w:b/>
          <w:sz w:val="24"/>
          <w:szCs w:val="24"/>
          <w:lang w:val="ka-GE"/>
        </w:rPr>
      </w:pPr>
    </w:p>
    <w:p w:rsidR="00EB7135" w:rsidRPr="00DB24BD" w:rsidRDefault="00EB7135" w:rsidP="0041284B">
      <w:pPr>
        <w:pStyle w:val="NoSpacing"/>
        <w:jc w:val="center"/>
        <w:rPr>
          <w:rFonts w:cstheme="minorHAnsi"/>
          <w:b/>
          <w:sz w:val="24"/>
          <w:szCs w:val="24"/>
          <w:lang w:val="ka-GE"/>
        </w:rPr>
      </w:pPr>
    </w:p>
    <w:p w:rsidR="004C52B8" w:rsidRPr="00DB24BD" w:rsidRDefault="004C52B8" w:rsidP="004C52B8">
      <w:pPr>
        <w:spacing w:before="60" w:after="60"/>
        <w:ind w:right="-25"/>
        <w:jc w:val="center"/>
        <w:rPr>
          <w:rFonts w:cstheme="minorHAnsi"/>
          <w:i/>
          <w:sz w:val="24"/>
          <w:szCs w:val="24"/>
          <w:u w:val="single"/>
        </w:rPr>
      </w:pPr>
      <w:r w:rsidRPr="00765F91">
        <w:rPr>
          <w:rFonts w:cstheme="minorHAnsi"/>
          <w:i/>
          <w:sz w:val="24"/>
          <w:szCs w:val="24"/>
          <w:u w:val="single"/>
        </w:rPr>
        <w:t>(Indicator 1.1.2 – Governance and Accountability in Medium-term Budgeting EU 4 Economic Governance and Fiscal Accountability)</w:t>
      </w: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rsidP="0041284B">
      <w:pPr>
        <w:pStyle w:val="NoSpacing"/>
        <w:jc w:val="center"/>
        <w:rPr>
          <w:rFonts w:cstheme="minorHAnsi"/>
          <w:b/>
          <w:color w:val="2E74B5" w:themeColor="accent1" w:themeShade="BF"/>
          <w:sz w:val="24"/>
          <w:szCs w:val="24"/>
          <w:lang w:val="ka-GE"/>
        </w:rPr>
      </w:pPr>
    </w:p>
    <w:p w:rsidR="00EB7135" w:rsidRPr="00DB24BD" w:rsidRDefault="00EB7135">
      <w:pPr>
        <w:rPr>
          <w:rFonts w:cstheme="minorHAnsi"/>
          <w:b/>
          <w:color w:val="2E74B5" w:themeColor="accent1" w:themeShade="BF"/>
          <w:sz w:val="24"/>
          <w:szCs w:val="24"/>
          <w:lang w:val="ka-GE"/>
        </w:rPr>
      </w:pPr>
      <w:r w:rsidRPr="00DB24BD">
        <w:rPr>
          <w:rFonts w:cstheme="minorHAnsi"/>
          <w:b/>
          <w:color w:val="2E74B5" w:themeColor="accent1" w:themeShade="BF"/>
          <w:sz w:val="24"/>
          <w:szCs w:val="24"/>
          <w:lang w:val="ka-GE"/>
        </w:rPr>
        <w:br w:type="page"/>
      </w:r>
      <w:bookmarkStart w:id="0" w:name="_GoBack"/>
      <w:bookmarkEnd w:id="0"/>
    </w:p>
    <w:p w:rsidR="00EB7135" w:rsidRPr="00DB24BD" w:rsidRDefault="00EB7135">
      <w:pPr>
        <w:rPr>
          <w:rFonts w:cstheme="minorHAnsi"/>
          <w:b/>
          <w:color w:val="2E74B5" w:themeColor="accent1" w:themeShade="BF"/>
          <w:sz w:val="24"/>
          <w:szCs w:val="24"/>
          <w:lang w:val="ka-GE"/>
        </w:rPr>
      </w:pPr>
    </w:p>
    <w:p w:rsidR="00EB7135" w:rsidRPr="00DB24BD" w:rsidRDefault="00EB7135">
      <w:pPr>
        <w:rPr>
          <w:rFonts w:cstheme="minorHAnsi"/>
          <w:b/>
          <w:color w:val="2E74B5" w:themeColor="accent1" w:themeShade="BF"/>
          <w:sz w:val="24"/>
          <w:szCs w:val="24"/>
          <w:lang w:val="ka-GE"/>
        </w:rPr>
      </w:pPr>
    </w:p>
    <w:p w:rsidR="003A2E8C" w:rsidRPr="00DB24BD" w:rsidRDefault="003A2E8C" w:rsidP="0041284B">
      <w:pPr>
        <w:pStyle w:val="NoSpacing"/>
        <w:jc w:val="center"/>
        <w:rPr>
          <w:rFonts w:cstheme="minorHAnsi"/>
          <w:b/>
          <w:color w:val="2E74B5" w:themeColor="accent1" w:themeShade="BF"/>
          <w:sz w:val="24"/>
          <w:szCs w:val="24"/>
          <w:lang w:val="ka-GE"/>
        </w:rPr>
      </w:pPr>
    </w:p>
    <w:p w:rsidR="003A2E8C" w:rsidRPr="00DB24BD" w:rsidRDefault="003A2E8C" w:rsidP="0041284B">
      <w:pPr>
        <w:pStyle w:val="NoSpacing"/>
        <w:jc w:val="center"/>
        <w:rPr>
          <w:rFonts w:cstheme="minorHAnsi"/>
          <w:b/>
          <w:color w:val="2E74B5" w:themeColor="accent1" w:themeShade="BF"/>
          <w:sz w:val="24"/>
          <w:szCs w:val="24"/>
          <w:lang w:val="ka-GE"/>
        </w:rPr>
      </w:pPr>
    </w:p>
    <w:sdt>
      <w:sdtPr>
        <w:rPr>
          <w:rFonts w:asciiTheme="minorHAnsi" w:eastAsiaTheme="minorHAnsi" w:hAnsiTheme="minorHAnsi" w:cstheme="minorHAnsi"/>
          <w:color w:val="auto"/>
          <w:sz w:val="24"/>
          <w:szCs w:val="24"/>
        </w:rPr>
        <w:id w:val="-129628186"/>
        <w:docPartObj>
          <w:docPartGallery w:val="Table of Contents"/>
          <w:docPartUnique/>
        </w:docPartObj>
      </w:sdtPr>
      <w:sdtEndPr>
        <w:rPr>
          <w:b/>
          <w:bCs/>
          <w:noProof/>
        </w:rPr>
      </w:sdtEndPr>
      <w:sdtContent>
        <w:p w:rsidR="003A2E8C" w:rsidRPr="00DB24BD" w:rsidRDefault="004C52B8">
          <w:pPr>
            <w:pStyle w:val="TOCHeading"/>
            <w:rPr>
              <w:rStyle w:val="Heading1Char"/>
              <w:rFonts w:asciiTheme="minorHAnsi" w:hAnsiTheme="minorHAnsi" w:cstheme="minorHAnsi"/>
              <w:b/>
              <w:sz w:val="24"/>
              <w:szCs w:val="24"/>
            </w:rPr>
          </w:pPr>
          <w:r w:rsidRPr="00DB24BD">
            <w:rPr>
              <w:rStyle w:val="Heading1Char"/>
              <w:rFonts w:asciiTheme="minorHAnsi" w:hAnsiTheme="minorHAnsi" w:cstheme="minorHAnsi"/>
              <w:b/>
              <w:sz w:val="24"/>
              <w:szCs w:val="24"/>
            </w:rPr>
            <w:t>Content</w:t>
          </w:r>
        </w:p>
        <w:p w:rsidR="004A2C00" w:rsidRDefault="003A2E8C">
          <w:pPr>
            <w:pStyle w:val="TOC1"/>
            <w:tabs>
              <w:tab w:val="left" w:pos="440"/>
              <w:tab w:val="right" w:leader="dot" w:pos="10337"/>
            </w:tabs>
            <w:rPr>
              <w:rFonts w:eastAsiaTheme="minorEastAsia"/>
              <w:noProof/>
            </w:rPr>
          </w:pPr>
          <w:r w:rsidRPr="00DB24BD">
            <w:rPr>
              <w:rFonts w:cstheme="minorHAnsi"/>
              <w:sz w:val="24"/>
              <w:szCs w:val="24"/>
            </w:rPr>
            <w:fldChar w:fldCharType="begin"/>
          </w:r>
          <w:r w:rsidRPr="00DB24BD">
            <w:rPr>
              <w:rFonts w:cstheme="minorHAnsi"/>
              <w:sz w:val="24"/>
              <w:szCs w:val="24"/>
            </w:rPr>
            <w:instrText xml:space="preserve"> TOC \o "1-3" \h \z \u </w:instrText>
          </w:r>
          <w:r w:rsidRPr="00DB24BD">
            <w:rPr>
              <w:rFonts w:cstheme="minorHAnsi"/>
              <w:sz w:val="24"/>
              <w:szCs w:val="24"/>
            </w:rPr>
            <w:fldChar w:fldCharType="separate"/>
          </w:r>
          <w:hyperlink w:anchor="_Toc104550017" w:history="1">
            <w:r w:rsidR="004A2C00" w:rsidRPr="006F739A">
              <w:rPr>
                <w:rStyle w:val="Hyperlink"/>
                <w:rFonts w:cstheme="minorHAnsi"/>
                <w:b/>
                <w:noProof/>
                <w:lang w:val="ka-GE"/>
              </w:rPr>
              <w:t>1.</w:t>
            </w:r>
            <w:r w:rsidR="004A2C00">
              <w:rPr>
                <w:rFonts w:eastAsiaTheme="minorEastAsia"/>
                <w:noProof/>
              </w:rPr>
              <w:tab/>
            </w:r>
            <w:r w:rsidR="004A2C00" w:rsidRPr="006F739A">
              <w:rPr>
                <w:rStyle w:val="Hyperlink"/>
                <w:rFonts w:cstheme="minorHAnsi"/>
                <w:b/>
                <w:noProof/>
                <w:lang w:val="ka-GE"/>
              </w:rPr>
              <w:t>Medium-term Forecast Reconciliation</w:t>
            </w:r>
            <w:r w:rsidR="004A2C00">
              <w:rPr>
                <w:noProof/>
                <w:webHidden/>
              </w:rPr>
              <w:tab/>
            </w:r>
            <w:r w:rsidR="004A2C00">
              <w:rPr>
                <w:noProof/>
                <w:webHidden/>
              </w:rPr>
              <w:fldChar w:fldCharType="begin"/>
            </w:r>
            <w:r w:rsidR="004A2C00">
              <w:rPr>
                <w:noProof/>
                <w:webHidden/>
              </w:rPr>
              <w:instrText xml:space="preserve"> PAGEREF _Toc104550017 \h </w:instrText>
            </w:r>
            <w:r w:rsidR="004A2C00">
              <w:rPr>
                <w:noProof/>
                <w:webHidden/>
              </w:rPr>
            </w:r>
            <w:r w:rsidR="004A2C00">
              <w:rPr>
                <w:noProof/>
                <w:webHidden/>
              </w:rPr>
              <w:fldChar w:fldCharType="separate"/>
            </w:r>
            <w:r w:rsidR="004A2C00">
              <w:rPr>
                <w:noProof/>
                <w:webHidden/>
              </w:rPr>
              <w:t>3</w:t>
            </w:r>
            <w:r w:rsidR="004A2C00">
              <w:rPr>
                <w:noProof/>
                <w:webHidden/>
              </w:rPr>
              <w:fldChar w:fldCharType="end"/>
            </w:r>
          </w:hyperlink>
        </w:p>
        <w:p w:rsidR="004A2C00" w:rsidRDefault="004A2C00">
          <w:pPr>
            <w:pStyle w:val="TOC1"/>
            <w:tabs>
              <w:tab w:val="left" w:pos="660"/>
              <w:tab w:val="right" w:leader="dot" w:pos="10337"/>
            </w:tabs>
            <w:rPr>
              <w:rFonts w:eastAsiaTheme="minorEastAsia"/>
              <w:noProof/>
            </w:rPr>
          </w:pPr>
          <w:hyperlink w:anchor="_Toc104550018" w:history="1">
            <w:r w:rsidRPr="006F739A">
              <w:rPr>
                <w:rStyle w:val="Hyperlink"/>
                <w:rFonts w:cstheme="minorHAnsi"/>
                <w:b/>
                <w:noProof/>
                <w:lang w:val="ka-GE"/>
              </w:rPr>
              <w:t>1.1</w:t>
            </w:r>
            <w:r>
              <w:rPr>
                <w:rFonts w:eastAsiaTheme="minorEastAsia"/>
                <w:noProof/>
              </w:rPr>
              <w:tab/>
            </w:r>
            <w:r w:rsidRPr="006F739A">
              <w:rPr>
                <w:rStyle w:val="Hyperlink"/>
                <w:rFonts w:cstheme="minorHAnsi"/>
                <w:b/>
                <w:noProof/>
                <w:lang w:val="ka-GE"/>
              </w:rPr>
              <w:t>Basic Macroeconomic and Fiscal Indicators</w:t>
            </w:r>
            <w:r>
              <w:rPr>
                <w:noProof/>
                <w:webHidden/>
              </w:rPr>
              <w:tab/>
            </w:r>
            <w:r>
              <w:rPr>
                <w:noProof/>
                <w:webHidden/>
              </w:rPr>
              <w:fldChar w:fldCharType="begin"/>
            </w:r>
            <w:r>
              <w:rPr>
                <w:noProof/>
                <w:webHidden/>
              </w:rPr>
              <w:instrText xml:space="preserve"> PAGEREF _Toc104550018 \h </w:instrText>
            </w:r>
            <w:r>
              <w:rPr>
                <w:noProof/>
                <w:webHidden/>
              </w:rPr>
            </w:r>
            <w:r>
              <w:rPr>
                <w:noProof/>
                <w:webHidden/>
              </w:rPr>
              <w:fldChar w:fldCharType="separate"/>
            </w:r>
            <w:r>
              <w:rPr>
                <w:noProof/>
                <w:webHidden/>
              </w:rPr>
              <w:t>3</w:t>
            </w:r>
            <w:r>
              <w:rPr>
                <w:noProof/>
                <w:webHidden/>
              </w:rPr>
              <w:fldChar w:fldCharType="end"/>
            </w:r>
          </w:hyperlink>
        </w:p>
        <w:p w:rsidR="004A2C00" w:rsidRDefault="004A2C00">
          <w:pPr>
            <w:pStyle w:val="TOC1"/>
            <w:tabs>
              <w:tab w:val="left" w:pos="440"/>
              <w:tab w:val="right" w:leader="dot" w:pos="10337"/>
            </w:tabs>
            <w:rPr>
              <w:rFonts w:eastAsiaTheme="minorEastAsia"/>
              <w:noProof/>
            </w:rPr>
          </w:pPr>
          <w:hyperlink w:anchor="_Toc104550019" w:history="1">
            <w:r w:rsidRPr="006F739A">
              <w:rPr>
                <w:rStyle w:val="Hyperlink"/>
                <w:rFonts w:cstheme="minorHAnsi"/>
                <w:b/>
                <w:noProof/>
              </w:rPr>
              <w:t>2.</w:t>
            </w:r>
            <w:r>
              <w:rPr>
                <w:rFonts w:eastAsiaTheme="minorEastAsia"/>
                <w:noProof/>
              </w:rPr>
              <w:tab/>
            </w:r>
            <w:r w:rsidRPr="006F739A">
              <w:rPr>
                <w:rStyle w:val="Hyperlink"/>
                <w:rFonts w:cstheme="minorHAnsi"/>
                <w:b/>
                <w:noProof/>
              </w:rPr>
              <w:t>Fiscal Framework and the Plan to Return to the Limits Provided by the Fiscal Rules</w:t>
            </w:r>
            <w:r>
              <w:rPr>
                <w:noProof/>
                <w:webHidden/>
              </w:rPr>
              <w:tab/>
            </w:r>
            <w:r>
              <w:rPr>
                <w:noProof/>
                <w:webHidden/>
              </w:rPr>
              <w:fldChar w:fldCharType="begin"/>
            </w:r>
            <w:r>
              <w:rPr>
                <w:noProof/>
                <w:webHidden/>
              </w:rPr>
              <w:instrText xml:space="preserve"> PAGEREF _Toc104550019 \h </w:instrText>
            </w:r>
            <w:r>
              <w:rPr>
                <w:noProof/>
                <w:webHidden/>
              </w:rPr>
            </w:r>
            <w:r>
              <w:rPr>
                <w:noProof/>
                <w:webHidden/>
              </w:rPr>
              <w:fldChar w:fldCharType="separate"/>
            </w:r>
            <w:r>
              <w:rPr>
                <w:noProof/>
                <w:webHidden/>
              </w:rPr>
              <w:t>6</w:t>
            </w:r>
            <w:r>
              <w:rPr>
                <w:noProof/>
                <w:webHidden/>
              </w:rPr>
              <w:fldChar w:fldCharType="end"/>
            </w:r>
          </w:hyperlink>
        </w:p>
        <w:p w:rsidR="004A2C00" w:rsidRDefault="004A2C00">
          <w:pPr>
            <w:pStyle w:val="TOC2"/>
            <w:tabs>
              <w:tab w:val="left" w:pos="880"/>
              <w:tab w:val="right" w:leader="dot" w:pos="10337"/>
            </w:tabs>
            <w:rPr>
              <w:rFonts w:eastAsiaTheme="minorEastAsia"/>
              <w:noProof/>
            </w:rPr>
          </w:pPr>
          <w:hyperlink w:anchor="_Toc104550020" w:history="1">
            <w:r w:rsidRPr="006F739A">
              <w:rPr>
                <w:rStyle w:val="Hyperlink"/>
                <w:rFonts w:cstheme="minorHAnsi"/>
                <w:noProof/>
              </w:rPr>
              <w:t>2.1</w:t>
            </w:r>
            <w:r>
              <w:rPr>
                <w:rFonts w:eastAsiaTheme="minorEastAsia"/>
                <w:noProof/>
              </w:rPr>
              <w:tab/>
            </w:r>
            <w:r w:rsidRPr="006F739A">
              <w:rPr>
                <w:rStyle w:val="Hyperlink"/>
                <w:rFonts w:cstheme="minorHAnsi"/>
                <w:noProof/>
              </w:rPr>
              <w:t>Comparing the Fiscal Framework</w:t>
            </w:r>
            <w:r>
              <w:rPr>
                <w:noProof/>
                <w:webHidden/>
              </w:rPr>
              <w:tab/>
            </w:r>
            <w:r>
              <w:rPr>
                <w:noProof/>
                <w:webHidden/>
              </w:rPr>
              <w:fldChar w:fldCharType="begin"/>
            </w:r>
            <w:r>
              <w:rPr>
                <w:noProof/>
                <w:webHidden/>
              </w:rPr>
              <w:instrText xml:space="preserve"> PAGEREF _Toc104550020 \h </w:instrText>
            </w:r>
            <w:r>
              <w:rPr>
                <w:noProof/>
                <w:webHidden/>
              </w:rPr>
            </w:r>
            <w:r>
              <w:rPr>
                <w:noProof/>
                <w:webHidden/>
              </w:rPr>
              <w:fldChar w:fldCharType="separate"/>
            </w:r>
            <w:r>
              <w:rPr>
                <w:noProof/>
                <w:webHidden/>
              </w:rPr>
              <w:t>6</w:t>
            </w:r>
            <w:r>
              <w:rPr>
                <w:noProof/>
                <w:webHidden/>
              </w:rPr>
              <w:fldChar w:fldCharType="end"/>
            </w:r>
          </w:hyperlink>
        </w:p>
        <w:p w:rsidR="004A2C00" w:rsidRDefault="004A2C00">
          <w:pPr>
            <w:pStyle w:val="TOC2"/>
            <w:tabs>
              <w:tab w:val="right" w:leader="dot" w:pos="10337"/>
            </w:tabs>
            <w:rPr>
              <w:rFonts w:eastAsiaTheme="minorEastAsia"/>
              <w:noProof/>
            </w:rPr>
          </w:pPr>
          <w:hyperlink w:anchor="_Toc104550021" w:history="1">
            <w:r w:rsidRPr="006F739A">
              <w:rPr>
                <w:rStyle w:val="Hyperlink"/>
                <w:rFonts w:cstheme="minorHAnsi"/>
                <w:noProof/>
                <w:lang w:val="ka-GE"/>
              </w:rPr>
              <w:t>2.2 Medium-term Fiscal Framework Compliance with Fiscal Rules Considered by the Organic Law of Georgia “The Economic Liberty Act”</w:t>
            </w:r>
            <w:r>
              <w:rPr>
                <w:noProof/>
                <w:webHidden/>
              </w:rPr>
              <w:tab/>
            </w:r>
            <w:r>
              <w:rPr>
                <w:noProof/>
                <w:webHidden/>
              </w:rPr>
              <w:fldChar w:fldCharType="begin"/>
            </w:r>
            <w:r>
              <w:rPr>
                <w:noProof/>
                <w:webHidden/>
              </w:rPr>
              <w:instrText xml:space="preserve"> PAGEREF _Toc104550021 \h </w:instrText>
            </w:r>
            <w:r>
              <w:rPr>
                <w:noProof/>
                <w:webHidden/>
              </w:rPr>
            </w:r>
            <w:r>
              <w:rPr>
                <w:noProof/>
                <w:webHidden/>
              </w:rPr>
              <w:fldChar w:fldCharType="separate"/>
            </w:r>
            <w:r>
              <w:rPr>
                <w:noProof/>
                <w:webHidden/>
              </w:rPr>
              <w:t>10</w:t>
            </w:r>
            <w:r>
              <w:rPr>
                <w:noProof/>
                <w:webHidden/>
              </w:rPr>
              <w:fldChar w:fldCharType="end"/>
            </w:r>
          </w:hyperlink>
        </w:p>
        <w:p w:rsidR="004A2C00" w:rsidRDefault="004A2C00">
          <w:pPr>
            <w:pStyle w:val="TOC1"/>
            <w:tabs>
              <w:tab w:val="left" w:pos="440"/>
              <w:tab w:val="right" w:leader="dot" w:pos="10337"/>
            </w:tabs>
            <w:rPr>
              <w:rFonts w:eastAsiaTheme="minorEastAsia"/>
              <w:noProof/>
            </w:rPr>
          </w:pPr>
          <w:hyperlink w:anchor="_Toc104550022" w:history="1">
            <w:r w:rsidRPr="006F739A">
              <w:rPr>
                <w:rStyle w:val="Hyperlink"/>
                <w:rFonts w:cstheme="minorHAnsi"/>
                <w:b/>
                <w:noProof/>
                <w:lang w:val="ka-GE"/>
              </w:rPr>
              <w:t>3.</w:t>
            </w:r>
            <w:r>
              <w:rPr>
                <w:rFonts w:eastAsiaTheme="minorEastAsia"/>
                <w:noProof/>
              </w:rPr>
              <w:tab/>
            </w:r>
            <w:r w:rsidRPr="006F739A">
              <w:rPr>
                <w:rStyle w:val="Hyperlink"/>
                <w:rFonts w:cstheme="minorHAnsi"/>
                <w:b/>
                <w:noProof/>
              </w:rPr>
              <w:t>Government Debt</w:t>
            </w:r>
            <w:r>
              <w:rPr>
                <w:noProof/>
                <w:webHidden/>
              </w:rPr>
              <w:tab/>
            </w:r>
            <w:r>
              <w:rPr>
                <w:noProof/>
                <w:webHidden/>
              </w:rPr>
              <w:fldChar w:fldCharType="begin"/>
            </w:r>
            <w:r>
              <w:rPr>
                <w:noProof/>
                <w:webHidden/>
              </w:rPr>
              <w:instrText xml:space="preserve"> PAGEREF _Toc104550022 \h </w:instrText>
            </w:r>
            <w:r>
              <w:rPr>
                <w:noProof/>
                <w:webHidden/>
              </w:rPr>
            </w:r>
            <w:r>
              <w:rPr>
                <w:noProof/>
                <w:webHidden/>
              </w:rPr>
              <w:fldChar w:fldCharType="separate"/>
            </w:r>
            <w:r>
              <w:rPr>
                <w:noProof/>
                <w:webHidden/>
              </w:rPr>
              <w:t>12</w:t>
            </w:r>
            <w:r>
              <w:rPr>
                <w:noProof/>
                <w:webHidden/>
              </w:rPr>
              <w:fldChar w:fldCharType="end"/>
            </w:r>
          </w:hyperlink>
        </w:p>
        <w:p w:rsidR="004A2C00" w:rsidRDefault="004A2C00">
          <w:pPr>
            <w:pStyle w:val="TOC1"/>
            <w:tabs>
              <w:tab w:val="left" w:pos="440"/>
              <w:tab w:val="right" w:leader="dot" w:pos="10337"/>
            </w:tabs>
            <w:rPr>
              <w:rFonts w:eastAsiaTheme="minorEastAsia"/>
              <w:noProof/>
            </w:rPr>
          </w:pPr>
          <w:hyperlink w:anchor="_Toc104550023" w:history="1">
            <w:r w:rsidRPr="006F739A">
              <w:rPr>
                <w:rStyle w:val="Hyperlink"/>
                <w:rFonts w:cstheme="minorHAnsi"/>
                <w:b/>
                <w:noProof/>
              </w:rPr>
              <w:t>4.</w:t>
            </w:r>
            <w:r>
              <w:rPr>
                <w:rFonts w:eastAsiaTheme="minorEastAsia"/>
                <w:noProof/>
              </w:rPr>
              <w:tab/>
            </w:r>
            <w:r w:rsidRPr="006F739A">
              <w:rPr>
                <w:rStyle w:val="Hyperlink"/>
                <w:rFonts w:cstheme="minorHAnsi"/>
                <w:b/>
                <w:noProof/>
              </w:rPr>
              <w:t>New Policy Directions</w:t>
            </w:r>
            <w:r>
              <w:rPr>
                <w:noProof/>
                <w:webHidden/>
              </w:rPr>
              <w:tab/>
            </w:r>
            <w:r>
              <w:rPr>
                <w:noProof/>
                <w:webHidden/>
              </w:rPr>
              <w:fldChar w:fldCharType="begin"/>
            </w:r>
            <w:r>
              <w:rPr>
                <w:noProof/>
                <w:webHidden/>
              </w:rPr>
              <w:instrText xml:space="preserve"> PAGEREF _Toc104550023 \h </w:instrText>
            </w:r>
            <w:r>
              <w:rPr>
                <w:noProof/>
                <w:webHidden/>
              </w:rPr>
            </w:r>
            <w:r>
              <w:rPr>
                <w:noProof/>
                <w:webHidden/>
              </w:rPr>
              <w:fldChar w:fldCharType="separate"/>
            </w:r>
            <w:r>
              <w:rPr>
                <w:noProof/>
                <w:webHidden/>
              </w:rPr>
              <w:t>14</w:t>
            </w:r>
            <w:r>
              <w:rPr>
                <w:noProof/>
                <w:webHidden/>
              </w:rPr>
              <w:fldChar w:fldCharType="end"/>
            </w:r>
          </w:hyperlink>
        </w:p>
        <w:p w:rsidR="003A2E8C" w:rsidRPr="00DB24BD" w:rsidRDefault="003A2E8C">
          <w:pPr>
            <w:rPr>
              <w:rFonts w:cstheme="minorHAnsi"/>
              <w:sz w:val="24"/>
              <w:szCs w:val="24"/>
            </w:rPr>
          </w:pPr>
          <w:r w:rsidRPr="00DB24BD">
            <w:rPr>
              <w:rFonts w:cstheme="minorHAnsi"/>
              <w:b/>
              <w:bCs/>
              <w:noProof/>
              <w:sz w:val="24"/>
              <w:szCs w:val="24"/>
            </w:rPr>
            <w:fldChar w:fldCharType="end"/>
          </w:r>
        </w:p>
      </w:sdtContent>
    </w:sdt>
    <w:p w:rsidR="003A2E8C" w:rsidRPr="00DB24BD" w:rsidRDefault="003A2E8C">
      <w:pPr>
        <w:rPr>
          <w:rFonts w:cstheme="minorHAnsi"/>
          <w:b/>
          <w:color w:val="2E74B5" w:themeColor="accent1" w:themeShade="BF"/>
          <w:sz w:val="24"/>
          <w:szCs w:val="24"/>
          <w:lang w:val="ka-GE"/>
        </w:rPr>
      </w:pPr>
    </w:p>
    <w:p w:rsidR="00C85296" w:rsidRPr="00DB24BD" w:rsidRDefault="003A2E8C" w:rsidP="003A2E8C">
      <w:pPr>
        <w:rPr>
          <w:rFonts w:cstheme="minorHAnsi"/>
          <w:b/>
          <w:color w:val="2E74B5" w:themeColor="accent1" w:themeShade="BF"/>
          <w:sz w:val="24"/>
          <w:szCs w:val="24"/>
          <w:lang w:val="ka-GE"/>
        </w:rPr>
      </w:pPr>
      <w:r w:rsidRPr="00DB24BD">
        <w:rPr>
          <w:rFonts w:cstheme="minorHAnsi"/>
          <w:b/>
          <w:color w:val="2E74B5" w:themeColor="accent1" w:themeShade="BF"/>
          <w:sz w:val="24"/>
          <w:szCs w:val="24"/>
          <w:lang w:val="ka-GE"/>
        </w:rPr>
        <w:br w:type="page"/>
      </w:r>
    </w:p>
    <w:p w:rsidR="004C52B8" w:rsidRPr="00DB24BD" w:rsidRDefault="004C52B8" w:rsidP="004C52B8">
      <w:pPr>
        <w:pStyle w:val="Heading1"/>
        <w:numPr>
          <w:ilvl w:val="0"/>
          <w:numId w:val="11"/>
        </w:numPr>
        <w:spacing w:line="256" w:lineRule="auto"/>
        <w:jc w:val="center"/>
        <w:rPr>
          <w:rFonts w:asciiTheme="minorHAnsi" w:hAnsiTheme="minorHAnsi" w:cstheme="minorHAnsi"/>
          <w:b/>
          <w:sz w:val="24"/>
          <w:szCs w:val="24"/>
          <w:lang w:val="ka-GE"/>
        </w:rPr>
      </w:pPr>
      <w:bookmarkStart w:id="1" w:name="_Toc58952842"/>
      <w:bookmarkStart w:id="2" w:name="_Toc104550017"/>
      <w:r w:rsidRPr="00DB24BD">
        <w:rPr>
          <w:rFonts w:asciiTheme="minorHAnsi" w:hAnsiTheme="minorHAnsi" w:cstheme="minorHAnsi"/>
          <w:b/>
          <w:sz w:val="24"/>
          <w:szCs w:val="24"/>
          <w:lang w:val="ka-GE"/>
        </w:rPr>
        <w:lastRenderedPageBreak/>
        <w:t>Medium-term Forecast Reconciliation</w:t>
      </w:r>
      <w:bookmarkEnd w:id="1"/>
      <w:bookmarkEnd w:id="2"/>
    </w:p>
    <w:p w:rsidR="004C52B8" w:rsidRPr="00DB24BD" w:rsidRDefault="004C52B8" w:rsidP="004C52B8">
      <w:pPr>
        <w:pStyle w:val="Heading1"/>
        <w:numPr>
          <w:ilvl w:val="1"/>
          <w:numId w:val="11"/>
        </w:numPr>
        <w:spacing w:line="256" w:lineRule="auto"/>
        <w:ind w:left="1470"/>
        <w:jc w:val="both"/>
        <w:rPr>
          <w:rFonts w:asciiTheme="minorHAnsi" w:hAnsiTheme="minorHAnsi" w:cstheme="minorHAnsi"/>
          <w:b/>
          <w:sz w:val="24"/>
          <w:szCs w:val="24"/>
          <w:lang w:val="ka-GE"/>
        </w:rPr>
      </w:pPr>
      <w:bookmarkStart w:id="3" w:name="_Toc58952843"/>
      <w:bookmarkStart w:id="4" w:name="_Toc104550018"/>
      <w:r w:rsidRPr="00DB24BD">
        <w:rPr>
          <w:rFonts w:asciiTheme="minorHAnsi" w:hAnsiTheme="minorHAnsi" w:cstheme="minorHAnsi"/>
          <w:b/>
          <w:sz w:val="24"/>
          <w:szCs w:val="24"/>
          <w:lang w:val="ka-GE"/>
        </w:rPr>
        <w:t>Basic Macroeconomic and Fiscal Indicators</w:t>
      </w:r>
      <w:bookmarkEnd w:id="3"/>
      <w:bookmarkEnd w:id="4"/>
    </w:p>
    <w:p w:rsidR="00D968E5" w:rsidRPr="00DB24BD" w:rsidRDefault="00D968E5" w:rsidP="007D46C3">
      <w:pPr>
        <w:pStyle w:val="NoSpacing"/>
        <w:jc w:val="both"/>
        <w:rPr>
          <w:rFonts w:cstheme="minorHAnsi"/>
          <w:sz w:val="24"/>
          <w:szCs w:val="24"/>
          <w:lang w:val="ka-GE"/>
        </w:rPr>
      </w:pPr>
    </w:p>
    <w:p w:rsidR="004C52B8" w:rsidRPr="00DB24BD" w:rsidRDefault="004C52B8" w:rsidP="004C52B8">
      <w:pPr>
        <w:pStyle w:val="NoSpacing"/>
        <w:spacing w:line="276" w:lineRule="auto"/>
        <w:ind w:firstLine="720"/>
        <w:jc w:val="both"/>
        <w:rPr>
          <w:rFonts w:cstheme="minorHAnsi"/>
          <w:sz w:val="24"/>
          <w:szCs w:val="24"/>
          <w:lang w:val="ka-GE"/>
        </w:rPr>
      </w:pPr>
      <w:r w:rsidRPr="00DB24BD">
        <w:rPr>
          <w:rFonts w:cstheme="minorHAnsi"/>
          <w:sz w:val="24"/>
          <w:szCs w:val="24"/>
          <w:lang w:val="ka-GE"/>
        </w:rPr>
        <w:t xml:space="preserve">The following forecast </w:t>
      </w:r>
      <w:r w:rsidRPr="00DB24BD">
        <w:rPr>
          <w:rFonts w:cstheme="minorHAnsi"/>
          <w:sz w:val="24"/>
          <w:szCs w:val="24"/>
        </w:rPr>
        <w:t xml:space="preserve">has been </w:t>
      </w:r>
      <w:r w:rsidRPr="00DB24BD">
        <w:rPr>
          <w:rFonts w:cstheme="minorHAnsi"/>
          <w:sz w:val="24"/>
          <w:szCs w:val="24"/>
          <w:lang w:val="ka-GE"/>
        </w:rPr>
        <w:t xml:space="preserve">prepared </w:t>
      </w:r>
      <w:r w:rsidRPr="00DB24BD">
        <w:rPr>
          <w:rFonts w:cstheme="minorHAnsi"/>
          <w:sz w:val="24"/>
          <w:szCs w:val="24"/>
        </w:rPr>
        <w:t xml:space="preserve">as a part of </w:t>
      </w:r>
      <w:r w:rsidRPr="00DB24BD">
        <w:rPr>
          <w:rFonts w:cstheme="minorHAnsi"/>
          <w:sz w:val="24"/>
          <w:szCs w:val="24"/>
          <w:lang w:val="ka-GE"/>
        </w:rPr>
        <w:t>202</w:t>
      </w:r>
      <w:r w:rsidRPr="00DB24BD">
        <w:rPr>
          <w:rFonts w:cstheme="minorHAnsi"/>
          <w:sz w:val="24"/>
          <w:szCs w:val="24"/>
        </w:rPr>
        <w:t>2</w:t>
      </w:r>
      <w:r w:rsidRPr="00DB24BD">
        <w:rPr>
          <w:rFonts w:cstheme="minorHAnsi"/>
          <w:sz w:val="24"/>
          <w:szCs w:val="24"/>
          <w:lang w:val="ka-GE"/>
        </w:rPr>
        <w:t xml:space="preserve"> budget </w:t>
      </w:r>
      <w:r w:rsidRPr="00DB24BD">
        <w:rPr>
          <w:rFonts w:cstheme="minorHAnsi"/>
          <w:sz w:val="24"/>
          <w:szCs w:val="24"/>
        </w:rPr>
        <w:t>draft law and it is</w:t>
      </w:r>
      <w:r w:rsidRPr="00DB24BD">
        <w:rPr>
          <w:rFonts w:cstheme="minorHAnsi"/>
          <w:sz w:val="24"/>
          <w:szCs w:val="24"/>
          <w:lang w:val="ka-GE"/>
        </w:rPr>
        <w:t xml:space="preserve"> the</w:t>
      </w:r>
      <w:r w:rsidRPr="00DB24BD">
        <w:rPr>
          <w:rFonts w:cstheme="minorHAnsi"/>
          <w:sz w:val="24"/>
          <w:szCs w:val="24"/>
        </w:rPr>
        <w:t xml:space="preserve"> medium-term forecast reconciliation</w:t>
      </w:r>
      <w:r w:rsidRPr="00DB24BD">
        <w:rPr>
          <w:rFonts w:cstheme="minorHAnsi"/>
          <w:sz w:val="24"/>
          <w:szCs w:val="24"/>
          <w:lang w:val="ka-GE"/>
        </w:rPr>
        <w:t xml:space="preserve"> </w:t>
      </w:r>
      <w:r w:rsidRPr="00DB24BD">
        <w:rPr>
          <w:rFonts w:cstheme="minorHAnsi"/>
          <w:sz w:val="24"/>
          <w:szCs w:val="24"/>
        </w:rPr>
        <w:t>of economic and fiscal parameters</w:t>
      </w:r>
      <w:r w:rsidRPr="00DB24BD">
        <w:rPr>
          <w:rFonts w:cstheme="minorHAnsi"/>
          <w:sz w:val="24"/>
          <w:szCs w:val="24"/>
          <w:lang w:val="ka-GE"/>
        </w:rPr>
        <w:t xml:space="preserve"> </w:t>
      </w:r>
      <w:r w:rsidRPr="00DB24BD">
        <w:rPr>
          <w:rFonts w:cstheme="minorHAnsi"/>
          <w:sz w:val="24"/>
          <w:szCs w:val="24"/>
        </w:rPr>
        <w:t xml:space="preserve">for </w:t>
      </w:r>
      <w:r w:rsidRPr="00DB24BD">
        <w:rPr>
          <w:rFonts w:cstheme="minorHAnsi"/>
          <w:sz w:val="24"/>
          <w:szCs w:val="24"/>
          <w:lang w:val="ka-GE"/>
        </w:rPr>
        <w:t>„</w:t>
      </w:r>
      <w:r w:rsidRPr="00DB24BD">
        <w:rPr>
          <w:rFonts w:cstheme="minorHAnsi"/>
          <w:sz w:val="24"/>
          <w:szCs w:val="24"/>
        </w:rPr>
        <w:t>2021-2024 Basic Data and Directions (BDD) document</w:t>
      </w:r>
      <w:r w:rsidRPr="00DB24BD">
        <w:rPr>
          <w:rFonts w:cstheme="minorHAnsi"/>
          <w:sz w:val="24"/>
          <w:szCs w:val="24"/>
          <w:lang w:val="ka-GE"/>
        </w:rPr>
        <w:t>“</w:t>
      </w:r>
      <w:r w:rsidRPr="00DB24BD">
        <w:rPr>
          <w:rFonts w:cstheme="minorHAnsi"/>
          <w:sz w:val="24"/>
          <w:szCs w:val="24"/>
        </w:rPr>
        <w:t xml:space="preserve"> attached on the 2021 budget law and </w:t>
      </w:r>
      <w:r w:rsidRPr="00DB24BD">
        <w:rPr>
          <w:rFonts w:cstheme="minorHAnsi"/>
          <w:sz w:val="24"/>
          <w:szCs w:val="24"/>
          <w:lang w:val="ka-GE"/>
        </w:rPr>
        <w:t xml:space="preserve">an updated version </w:t>
      </w:r>
      <w:r w:rsidRPr="00DB24BD">
        <w:rPr>
          <w:rFonts w:cstheme="minorHAnsi"/>
          <w:sz w:val="24"/>
          <w:szCs w:val="24"/>
        </w:rPr>
        <w:t>under</w:t>
      </w:r>
      <w:r w:rsidRPr="00DB24BD">
        <w:rPr>
          <w:rFonts w:cstheme="minorHAnsi"/>
          <w:sz w:val="24"/>
          <w:szCs w:val="24"/>
          <w:lang w:val="ka-GE"/>
        </w:rPr>
        <w:t xml:space="preserve"> „</w:t>
      </w:r>
      <w:r w:rsidRPr="00DB24BD">
        <w:rPr>
          <w:rFonts w:cstheme="minorHAnsi"/>
          <w:sz w:val="24"/>
          <w:szCs w:val="24"/>
        </w:rPr>
        <w:t>2022-2025 Basic Data and Directions (BDD) document</w:t>
      </w:r>
      <w:r w:rsidRPr="00DB24BD">
        <w:rPr>
          <w:rFonts w:cstheme="minorHAnsi"/>
          <w:sz w:val="24"/>
          <w:szCs w:val="24"/>
          <w:lang w:val="ka-GE"/>
        </w:rPr>
        <w:t xml:space="preserve">“. </w:t>
      </w:r>
    </w:p>
    <w:p w:rsidR="00F61572" w:rsidRPr="00DB24BD" w:rsidRDefault="004C52B8" w:rsidP="00F61572">
      <w:pPr>
        <w:pStyle w:val="NoSpacing"/>
        <w:tabs>
          <w:tab w:val="left" w:pos="709"/>
        </w:tabs>
        <w:spacing w:line="276" w:lineRule="auto"/>
        <w:ind w:firstLine="709"/>
        <w:jc w:val="both"/>
        <w:rPr>
          <w:rFonts w:cstheme="minorHAnsi"/>
          <w:sz w:val="24"/>
          <w:szCs w:val="24"/>
          <w:lang w:val="ka-GE"/>
        </w:rPr>
      </w:pPr>
      <w:r w:rsidRPr="00DB24BD">
        <w:rPr>
          <w:rFonts w:cstheme="minorHAnsi"/>
          <w:sz w:val="24"/>
          <w:szCs w:val="24"/>
        </w:rPr>
        <w:t xml:space="preserve">COVID-19 Pandemic spread in 2020 has caused a large scalve turbulence in global economy and respectively 2020-2024 marco-economic forecasts had been updated several times. Overall </w:t>
      </w:r>
      <w:r w:rsidRPr="00DB24BD">
        <w:rPr>
          <w:rFonts w:cstheme="minorHAnsi"/>
          <w:sz w:val="24"/>
          <w:szCs w:val="24"/>
          <w:lang w:val="ka-GE"/>
        </w:rPr>
        <w:t>2020 resutled in 6.8</w:t>
      </w:r>
      <w:r w:rsidRPr="00DB24BD">
        <w:rPr>
          <w:rFonts w:cstheme="minorHAnsi"/>
          <w:sz w:val="24"/>
          <w:szCs w:val="24"/>
        </w:rPr>
        <w:t>% GDP decline for Georgia. Last update for 2020 economic development was prepared in November 2020</w:t>
      </w:r>
      <w:r w:rsidR="007B6BCE" w:rsidRPr="00DB24BD">
        <w:rPr>
          <w:rFonts w:cstheme="minorHAnsi"/>
          <w:sz w:val="24"/>
          <w:szCs w:val="24"/>
        </w:rPr>
        <w:t xml:space="preserve"> based as a result of second wa</w:t>
      </w:r>
      <w:r w:rsidRPr="00DB24BD">
        <w:rPr>
          <w:rFonts w:cstheme="minorHAnsi"/>
          <w:sz w:val="24"/>
          <w:szCs w:val="24"/>
        </w:rPr>
        <w:t xml:space="preserve">ve of the pandemic which affected negatively Healthcare sector </w:t>
      </w:r>
      <w:r w:rsidR="007B6BCE" w:rsidRPr="00DB24BD">
        <w:rPr>
          <w:rFonts w:cstheme="minorHAnsi"/>
          <w:sz w:val="24"/>
          <w:szCs w:val="24"/>
        </w:rPr>
        <w:t xml:space="preserve">as well as Economic Development in general. As a measure to sustaine further spread of the virus additional restictions were introduce. Since the prospects of </w:t>
      </w:r>
      <w:r w:rsidR="00765F91" w:rsidRPr="00DB24BD">
        <w:rPr>
          <w:rFonts w:cstheme="minorHAnsi"/>
          <w:sz w:val="24"/>
          <w:szCs w:val="24"/>
        </w:rPr>
        <w:t>vaccine,</w:t>
      </w:r>
      <w:r w:rsidR="007B6BCE" w:rsidRPr="00DB24BD">
        <w:rPr>
          <w:rFonts w:cstheme="minorHAnsi"/>
          <w:sz w:val="24"/>
          <w:szCs w:val="24"/>
        </w:rPr>
        <w:t xml:space="preserve"> availability was still unclear and the pace of second wave spread was more intense than the first wave globally, forecasts for 2021 economic recovery was projected as a low probability. Based on the developments by the end of 2020, there were no expectations for speedy recovery in 2021 and as a result 2021 Budget was prepared to manage and mitigate pandemic and the effects of the introduced restrictions. </w:t>
      </w:r>
    </w:p>
    <w:p w:rsidR="00F61572" w:rsidRPr="00DB24BD" w:rsidRDefault="007B6BCE" w:rsidP="00F61572">
      <w:pPr>
        <w:pStyle w:val="NoSpacing"/>
        <w:tabs>
          <w:tab w:val="left" w:pos="709"/>
        </w:tabs>
        <w:spacing w:line="276" w:lineRule="auto"/>
        <w:ind w:firstLine="709"/>
        <w:jc w:val="both"/>
        <w:rPr>
          <w:rFonts w:cstheme="minorHAnsi"/>
          <w:sz w:val="24"/>
          <w:szCs w:val="24"/>
          <w:lang w:val="ka-GE"/>
        </w:rPr>
      </w:pPr>
      <w:r w:rsidRPr="00DB24BD">
        <w:rPr>
          <w:rFonts w:cstheme="minorHAnsi"/>
          <w:sz w:val="24"/>
          <w:szCs w:val="24"/>
        </w:rPr>
        <w:t xml:space="preserve">The </w:t>
      </w:r>
      <w:r w:rsidR="000814D5" w:rsidRPr="00DB24BD">
        <w:rPr>
          <w:rFonts w:cstheme="minorHAnsi"/>
          <w:sz w:val="24"/>
          <w:szCs w:val="24"/>
        </w:rPr>
        <w:t xml:space="preserve">economic trends at the </w:t>
      </w:r>
      <w:r w:rsidRPr="00DB24BD">
        <w:rPr>
          <w:rFonts w:cstheme="minorHAnsi"/>
          <w:sz w:val="24"/>
          <w:szCs w:val="24"/>
        </w:rPr>
        <w:t xml:space="preserve">start of </w:t>
      </w:r>
      <w:r w:rsidR="00F61572" w:rsidRPr="00DB24BD">
        <w:rPr>
          <w:rFonts w:cstheme="minorHAnsi"/>
          <w:sz w:val="24"/>
          <w:szCs w:val="24"/>
          <w:lang w:val="ka-GE"/>
        </w:rPr>
        <w:t xml:space="preserve">2021 </w:t>
      </w:r>
      <w:r w:rsidRPr="00DB24BD">
        <w:rPr>
          <w:rFonts w:cstheme="minorHAnsi"/>
          <w:sz w:val="24"/>
          <w:szCs w:val="24"/>
        </w:rPr>
        <w:t xml:space="preserve">was </w:t>
      </w:r>
      <w:r w:rsidR="000814D5" w:rsidRPr="00DB24BD">
        <w:rPr>
          <w:rFonts w:cstheme="minorHAnsi"/>
          <w:sz w:val="24"/>
          <w:szCs w:val="24"/>
        </w:rPr>
        <w:t xml:space="preserve">also quite pessimistic, with GDP decline of 11.5% in January and 5.1% in February. First signs of positive trends has started to show in March, though Qu1 GDP was still negative 4.1%. Economic parameters have showed reversed trend from April, by increased exsport-import figures, VAT turnouts, economic growth of financial sector, increased remittances and other economic parameters. </w:t>
      </w:r>
      <w:r w:rsidR="00564581" w:rsidRPr="00DB24BD">
        <w:rPr>
          <w:rFonts w:cstheme="minorHAnsi"/>
          <w:sz w:val="24"/>
          <w:szCs w:val="24"/>
        </w:rPr>
        <w:t xml:space="preserve">April GDP growth reached </w:t>
      </w:r>
      <w:r w:rsidR="00F61572" w:rsidRPr="00DB24BD">
        <w:rPr>
          <w:rFonts w:cstheme="minorHAnsi"/>
          <w:sz w:val="24"/>
          <w:szCs w:val="24"/>
          <w:lang w:val="ka-GE"/>
        </w:rPr>
        <w:t>44,8%</w:t>
      </w:r>
      <w:r w:rsidR="00564581" w:rsidRPr="00DB24BD">
        <w:rPr>
          <w:rFonts w:cstheme="minorHAnsi"/>
          <w:sz w:val="24"/>
          <w:szCs w:val="24"/>
        </w:rPr>
        <w:t xml:space="preserve"> and the trend continued in the following months and preliminary GDP growth for 9 months of 2021 amounted to </w:t>
      </w:r>
      <w:r w:rsidR="00F61572" w:rsidRPr="00DB24BD">
        <w:rPr>
          <w:rFonts w:cstheme="minorHAnsi"/>
          <w:sz w:val="24"/>
          <w:szCs w:val="24"/>
        </w:rPr>
        <w:t>11.3</w:t>
      </w:r>
      <w:r w:rsidR="00F61572" w:rsidRPr="00DB24BD">
        <w:rPr>
          <w:rFonts w:cstheme="minorHAnsi"/>
          <w:sz w:val="24"/>
          <w:szCs w:val="24"/>
          <w:lang w:val="ka-GE"/>
        </w:rPr>
        <w:t>%</w:t>
      </w:r>
      <w:r w:rsidR="00564581" w:rsidRPr="00DB24BD">
        <w:rPr>
          <w:rFonts w:cstheme="minorHAnsi"/>
          <w:sz w:val="24"/>
          <w:szCs w:val="24"/>
        </w:rPr>
        <w:t>. It needs to mentioned that the GDP growth is significant compared to 2019 as well, as official figures for Qu2 2021 shows 10.2% growth compared to 2019 Qu2.</w:t>
      </w:r>
    </w:p>
    <w:p w:rsidR="00F61572" w:rsidRPr="00DB24BD" w:rsidRDefault="00564581" w:rsidP="00F61572">
      <w:pPr>
        <w:pStyle w:val="ListParagraph"/>
        <w:spacing w:after="0"/>
        <w:ind w:left="0" w:firstLine="709"/>
        <w:jc w:val="both"/>
        <w:rPr>
          <w:rFonts w:cstheme="minorHAnsi"/>
          <w:sz w:val="24"/>
          <w:szCs w:val="24"/>
          <w:lang w:val="ka-GE"/>
        </w:rPr>
      </w:pPr>
      <w:r w:rsidRPr="00DB24BD">
        <w:rPr>
          <w:rFonts w:cstheme="minorHAnsi"/>
          <w:sz w:val="24"/>
          <w:szCs w:val="24"/>
        </w:rPr>
        <w:t xml:space="preserve">As a result of the positive economic trends, Macro-economic forecasts were updated when in May 2021 when submitting </w:t>
      </w:r>
      <w:r w:rsidR="004801BF" w:rsidRPr="00DB24BD">
        <w:rPr>
          <w:rFonts w:cstheme="minorHAnsi"/>
          <w:sz w:val="24"/>
          <w:szCs w:val="24"/>
        </w:rPr>
        <w:t xml:space="preserve">to the Parliament </w:t>
      </w:r>
      <w:r w:rsidRPr="00DB24BD">
        <w:rPr>
          <w:rFonts w:cstheme="minorHAnsi"/>
          <w:sz w:val="24"/>
          <w:szCs w:val="24"/>
        </w:rPr>
        <w:t xml:space="preserve">the </w:t>
      </w:r>
      <w:r w:rsidR="004801BF" w:rsidRPr="00DB24BD">
        <w:rPr>
          <w:rFonts w:cstheme="minorHAnsi"/>
          <w:sz w:val="24"/>
          <w:szCs w:val="24"/>
        </w:rPr>
        <w:t>2022-2025 Macro-economic and Fiscal forecast in line with the Budget Code (Article 34.4) requirements</w:t>
      </w:r>
      <w:r w:rsidR="00F61572" w:rsidRPr="00DB24BD">
        <w:rPr>
          <w:rStyle w:val="FootnoteReference"/>
          <w:rFonts w:cstheme="minorHAnsi"/>
          <w:sz w:val="24"/>
          <w:szCs w:val="24"/>
          <w:lang w:val="ka-GE"/>
        </w:rPr>
        <w:footnoteReference w:id="1"/>
      </w:r>
      <w:r w:rsidR="004801BF" w:rsidRPr="00DB24BD">
        <w:rPr>
          <w:rFonts w:cstheme="minorHAnsi"/>
          <w:sz w:val="24"/>
          <w:szCs w:val="24"/>
        </w:rPr>
        <w:t xml:space="preserve"> and 2021 gwoth was increased to 6.5%. As postitive trends continued in May and June, further updated of 2021 GDP growth to 7.7% was disclosed when submitting the 2021 State Budget Amendments to the Parliament in July 2021. Postive trends continued further and when preparing the Budget package fo 2022 the GDP growth for 2021 was updated further to 9.5% in the baseline scenario.</w:t>
      </w:r>
      <w:r w:rsidR="00F61572" w:rsidRPr="00DB24BD">
        <w:rPr>
          <w:rFonts w:cstheme="minorHAnsi"/>
          <w:sz w:val="24"/>
          <w:szCs w:val="24"/>
          <w:lang w:val="ka-GE"/>
        </w:rPr>
        <w:t xml:space="preserve"> </w:t>
      </w:r>
      <w:r w:rsidR="00DB7FA9" w:rsidRPr="00DB24BD">
        <w:rPr>
          <w:rFonts w:cstheme="minorHAnsi"/>
          <w:sz w:val="24"/>
          <w:szCs w:val="24"/>
        </w:rPr>
        <w:t>By the second submission to the parliament of 2022 State Budget Package, economic paamters were updated further and 2021 GDP growth was estimated at 10% for 2021, which is a result of the recent trends in trade and stronger than expected effected of the delayed demand. GDP growth for 2022 is expected around 6% in the baseline scenario. Budget package also includes optimistic and pessimistic scenarios which</w:t>
      </w:r>
      <w:r w:rsidR="00E6441A" w:rsidRPr="00DB24BD">
        <w:rPr>
          <w:rFonts w:cstheme="minorHAnsi"/>
          <w:sz w:val="24"/>
          <w:szCs w:val="24"/>
          <w:lang w:val="ka-GE"/>
        </w:rPr>
        <w:t xml:space="preserve"> </w:t>
      </w:r>
      <w:r w:rsidR="00E6441A" w:rsidRPr="00DB24BD">
        <w:rPr>
          <w:rFonts w:cstheme="minorHAnsi"/>
          <w:sz w:val="24"/>
          <w:szCs w:val="24"/>
        </w:rPr>
        <w:t>depict different risk scenario assumptions affecting economy negatively or postively</w:t>
      </w:r>
      <w:r w:rsidR="00F61572" w:rsidRPr="00DB24BD">
        <w:rPr>
          <w:rFonts w:cstheme="minorHAnsi"/>
          <w:sz w:val="24"/>
          <w:szCs w:val="24"/>
          <w:lang w:val="ka-GE"/>
        </w:rPr>
        <w:t>.</w:t>
      </w:r>
      <w:r w:rsidR="00E6441A" w:rsidRPr="00DB24BD">
        <w:rPr>
          <w:rFonts w:cstheme="minorHAnsi"/>
          <w:sz w:val="24"/>
          <w:szCs w:val="24"/>
        </w:rPr>
        <w:t xml:space="preserve"> </w:t>
      </w:r>
      <w:r w:rsidR="00F61572" w:rsidRPr="00DB24BD">
        <w:rPr>
          <w:rFonts w:cstheme="minorHAnsi"/>
          <w:sz w:val="24"/>
          <w:szCs w:val="24"/>
          <w:lang w:val="ka-GE"/>
        </w:rPr>
        <w:t xml:space="preserve"> </w:t>
      </w:r>
    </w:p>
    <w:p w:rsidR="00F61572" w:rsidRPr="00DB24BD" w:rsidRDefault="00E6441A" w:rsidP="00F61572">
      <w:pPr>
        <w:pStyle w:val="NoSpacing"/>
        <w:spacing w:line="276" w:lineRule="auto"/>
        <w:ind w:firstLine="720"/>
        <w:jc w:val="both"/>
        <w:rPr>
          <w:rFonts w:cstheme="minorHAnsi"/>
          <w:sz w:val="24"/>
          <w:szCs w:val="24"/>
          <w:lang w:val="ka-GE"/>
        </w:rPr>
      </w:pPr>
      <w:r w:rsidRPr="00DB24BD">
        <w:rPr>
          <w:rFonts w:cstheme="minorHAnsi"/>
          <w:sz w:val="24"/>
          <w:szCs w:val="24"/>
        </w:rPr>
        <w:t xml:space="preserve">The table below compares updated economic forecasts to the ones prepared as part of 2021 Budget Package submission. </w:t>
      </w:r>
      <w:r w:rsidR="00796390" w:rsidRPr="00DB24BD">
        <w:rPr>
          <w:rFonts w:cstheme="minorHAnsi"/>
          <w:sz w:val="24"/>
          <w:szCs w:val="24"/>
        </w:rPr>
        <w:t xml:space="preserve">Major influence on the updated figures had had the speedy recovery starting from </w:t>
      </w:r>
      <w:r w:rsidR="00796390" w:rsidRPr="00DB24BD">
        <w:rPr>
          <w:rFonts w:cstheme="minorHAnsi"/>
          <w:sz w:val="24"/>
          <w:szCs w:val="24"/>
        </w:rPr>
        <w:lastRenderedPageBreak/>
        <w:t xml:space="preserve">March-April, specifically 44.8% growth in April has led the forecasts even higher estimates than envisaged wihtoug pandemic. Despite the sharp revesed trends, it is not expected the growth to be maintained at the same high levels since the the sharp increase was influence by the one-time effect lifting the restrictions and positive expectations as vaccines became available. </w:t>
      </w:r>
    </w:p>
    <w:p w:rsidR="00F61572" w:rsidRPr="00DB24BD" w:rsidRDefault="00F61572" w:rsidP="00F61572">
      <w:pPr>
        <w:pStyle w:val="NoSpacing"/>
        <w:spacing w:line="276" w:lineRule="auto"/>
        <w:jc w:val="both"/>
        <w:rPr>
          <w:rFonts w:eastAsia="Times New Roman" w:cstheme="minorHAnsi"/>
          <w:b/>
          <w:bCs/>
          <w:color w:val="000000"/>
          <w:sz w:val="24"/>
          <w:szCs w:val="24"/>
          <w:lang w:val="ka-GE"/>
        </w:rPr>
      </w:pPr>
    </w:p>
    <w:p w:rsidR="00F61572" w:rsidRPr="00DB24BD" w:rsidRDefault="00796390" w:rsidP="00F61572">
      <w:pPr>
        <w:pStyle w:val="NoSpacing"/>
        <w:spacing w:line="276" w:lineRule="auto"/>
        <w:jc w:val="both"/>
        <w:rPr>
          <w:rFonts w:cstheme="minorHAnsi"/>
          <w:b/>
          <w:sz w:val="24"/>
          <w:szCs w:val="24"/>
          <w:lang w:val="ka-GE"/>
        </w:rPr>
      </w:pPr>
      <w:r w:rsidRPr="00DB24BD">
        <w:rPr>
          <w:rFonts w:eastAsia="Times New Roman" w:cstheme="minorHAnsi"/>
          <w:b/>
          <w:bCs/>
          <w:color w:val="000000"/>
          <w:sz w:val="24"/>
          <w:szCs w:val="24"/>
        </w:rPr>
        <w:t>Table 1. Basic Expectations and Assumptions</w:t>
      </w:r>
    </w:p>
    <w:tbl>
      <w:tblPr>
        <w:tblW w:w="9938"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960"/>
        <w:gridCol w:w="962"/>
        <w:gridCol w:w="960"/>
        <w:gridCol w:w="960"/>
        <w:gridCol w:w="960"/>
        <w:gridCol w:w="960"/>
      </w:tblGrid>
      <w:tr w:rsidR="00F61572" w:rsidRPr="00DB24BD" w:rsidTr="00796390">
        <w:trPr>
          <w:trHeight w:val="113"/>
          <w:tblHeader/>
        </w:trPr>
        <w:tc>
          <w:tcPr>
            <w:tcW w:w="4176" w:type="dxa"/>
            <w:shd w:val="clear" w:color="auto" w:fill="auto"/>
            <w:noWrap/>
            <w:vAlign w:val="bottom"/>
            <w:hideMark/>
          </w:tcPr>
          <w:p w:rsidR="00F61572" w:rsidRPr="00DB24BD" w:rsidRDefault="00F61572" w:rsidP="00F61572">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 </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2020</w:t>
            </w:r>
          </w:p>
        </w:tc>
        <w:tc>
          <w:tcPr>
            <w:tcW w:w="962"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2021</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2022</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2023</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2024</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2025</w:t>
            </w:r>
          </w:p>
        </w:tc>
      </w:tr>
      <w:tr w:rsidR="00796390" w:rsidRPr="00DB24BD" w:rsidTr="00796390">
        <w:trPr>
          <w:trHeight w:val="113"/>
          <w:tblHeader/>
        </w:trPr>
        <w:tc>
          <w:tcPr>
            <w:tcW w:w="4176"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Actual</w:t>
            </w:r>
          </w:p>
        </w:tc>
        <w:tc>
          <w:tcPr>
            <w:tcW w:w="962" w:type="dxa"/>
            <w:shd w:val="clear" w:color="auto" w:fill="auto"/>
            <w:noWrap/>
            <w:vAlign w:val="center"/>
            <w:hideMark/>
          </w:tcPr>
          <w:p w:rsidR="00796390" w:rsidRPr="00DB24BD" w:rsidRDefault="00796390" w:rsidP="00796390">
            <w:pPr>
              <w:spacing w:after="0" w:line="240" w:lineRule="auto"/>
              <w:jc w:val="center"/>
              <w:rPr>
                <w:rFonts w:eastAsia="Times New Roman" w:cstheme="minorHAnsi"/>
                <w:b/>
                <w:bCs/>
                <w:color w:val="000000"/>
                <w:sz w:val="20"/>
                <w:szCs w:val="20"/>
              </w:rPr>
            </w:pPr>
            <w:r w:rsidRPr="00DB24BD">
              <w:rPr>
                <w:rFonts w:eastAsia="Times New Roman" w:cstheme="minorHAnsi"/>
                <w:color w:val="000000"/>
                <w:sz w:val="20"/>
                <w:szCs w:val="20"/>
              </w:rPr>
              <w:t>Expected</w:t>
            </w:r>
          </w:p>
        </w:tc>
        <w:tc>
          <w:tcPr>
            <w:tcW w:w="960" w:type="dxa"/>
            <w:shd w:val="clear" w:color="auto" w:fill="auto"/>
            <w:noWrap/>
            <w:vAlign w:val="center"/>
            <w:hideMark/>
          </w:tcPr>
          <w:p w:rsidR="00796390" w:rsidRPr="00DB24BD" w:rsidRDefault="00796390" w:rsidP="00796390">
            <w:pPr>
              <w:spacing w:after="0" w:line="240" w:lineRule="auto"/>
              <w:jc w:val="center"/>
              <w:rPr>
                <w:rFonts w:eastAsia="Times New Roman" w:cstheme="minorHAnsi"/>
                <w:b/>
                <w:bCs/>
                <w:color w:val="000000"/>
                <w:sz w:val="20"/>
                <w:szCs w:val="20"/>
              </w:rPr>
            </w:pPr>
            <w:r w:rsidRPr="00DB24BD">
              <w:rPr>
                <w:rFonts w:eastAsia="Times New Roman" w:cstheme="minorHAnsi"/>
                <w:color w:val="000000"/>
                <w:sz w:val="20"/>
                <w:szCs w:val="20"/>
              </w:rPr>
              <w:t>Forecast</w:t>
            </w:r>
          </w:p>
        </w:tc>
        <w:tc>
          <w:tcPr>
            <w:tcW w:w="960" w:type="dxa"/>
            <w:shd w:val="clear" w:color="auto" w:fill="auto"/>
            <w:noWrap/>
            <w:vAlign w:val="center"/>
            <w:hideMark/>
          </w:tcPr>
          <w:p w:rsidR="00796390" w:rsidRPr="00DB24BD" w:rsidRDefault="00796390" w:rsidP="00796390">
            <w:pPr>
              <w:spacing w:after="0" w:line="240" w:lineRule="auto"/>
              <w:jc w:val="center"/>
              <w:rPr>
                <w:rFonts w:eastAsia="Times New Roman" w:cstheme="minorHAnsi"/>
                <w:b/>
                <w:bCs/>
                <w:color w:val="000000"/>
                <w:sz w:val="20"/>
                <w:szCs w:val="20"/>
              </w:rPr>
            </w:pPr>
            <w:r w:rsidRPr="00DB24BD">
              <w:rPr>
                <w:rFonts w:eastAsia="Times New Roman" w:cstheme="minorHAnsi"/>
                <w:color w:val="000000"/>
                <w:sz w:val="20"/>
                <w:szCs w:val="20"/>
              </w:rPr>
              <w:t>Forecast</w:t>
            </w:r>
          </w:p>
        </w:tc>
        <w:tc>
          <w:tcPr>
            <w:tcW w:w="960" w:type="dxa"/>
            <w:shd w:val="clear" w:color="auto" w:fill="auto"/>
            <w:noWrap/>
            <w:vAlign w:val="center"/>
            <w:hideMark/>
          </w:tcPr>
          <w:p w:rsidR="00796390" w:rsidRPr="00DB24BD" w:rsidRDefault="00796390" w:rsidP="00796390">
            <w:pPr>
              <w:spacing w:after="0" w:line="240" w:lineRule="auto"/>
              <w:jc w:val="center"/>
              <w:rPr>
                <w:rFonts w:eastAsia="Times New Roman" w:cstheme="minorHAnsi"/>
                <w:b/>
                <w:bCs/>
                <w:color w:val="000000"/>
                <w:sz w:val="20"/>
                <w:szCs w:val="20"/>
              </w:rPr>
            </w:pPr>
            <w:r w:rsidRPr="00DB24BD">
              <w:rPr>
                <w:rFonts w:eastAsia="Times New Roman" w:cstheme="minorHAnsi"/>
                <w:color w:val="000000"/>
                <w:sz w:val="20"/>
                <w:szCs w:val="20"/>
              </w:rPr>
              <w:t>Forecast</w:t>
            </w:r>
          </w:p>
        </w:tc>
        <w:tc>
          <w:tcPr>
            <w:tcW w:w="960" w:type="dxa"/>
            <w:shd w:val="clear" w:color="auto" w:fill="auto"/>
            <w:noWrap/>
            <w:vAlign w:val="center"/>
            <w:hideMark/>
          </w:tcPr>
          <w:p w:rsidR="00796390" w:rsidRPr="00DB24BD" w:rsidRDefault="00796390" w:rsidP="00796390">
            <w:pPr>
              <w:spacing w:after="0" w:line="240" w:lineRule="auto"/>
              <w:jc w:val="center"/>
              <w:rPr>
                <w:rFonts w:eastAsia="Times New Roman" w:cstheme="minorHAnsi"/>
                <w:b/>
                <w:bCs/>
                <w:color w:val="000000"/>
                <w:sz w:val="20"/>
                <w:szCs w:val="20"/>
              </w:rPr>
            </w:pPr>
            <w:r w:rsidRPr="00DB24BD">
              <w:rPr>
                <w:rFonts w:eastAsia="Times New Roman" w:cstheme="minorHAnsi"/>
                <w:color w:val="000000"/>
                <w:sz w:val="20"/>
                <w:szCs w:val="20"/>
              </w:rPr>
              <w:t>Forecast</w:t>
            </w: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rPr>
                <w:rFonts w:eastAsia="Times New Roman" w:cstheme="minorHAnsi"/>
                <w:b/>
                <w:color w:val="000000"/>
                <w:sz w:val="20"/>
                <w:szCs w:val="20"/>
              </w:rPr>
            </w:pPr>
            <w:r w:rsidRPr="00DB24BD">
              <w:rPr>
                <w:rFonts w:eastAsia="Times New Roman" w:cstheme="minorHAnsi"/>
                <w:b/>
                <w:color w:val="000000"/>
                <w:sz w:val="20"/>
                <w:szCs w:val="20"/>
              </w:rPr>
              <w:t>Growth of Real GDP,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2"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ind w:firstLineChars="100" w:firstLine="200"/>
              <w:rPr>
                <w:rFonts w:eastAsia="Times New Roman" w:cstheme="minorHAnsi"/>
                <w:color w:val="000000"/>
                <w:sz w:val="20"/>
                <w:szCs w:val="20"/>
              </w:rPr>
            </w:pPr>
            <w:r w:rsidRPr="00DB24BD">
              <w:rPr>
                <w:rFonts w:eastAsia="Times New Roman" w:cstheme="minorHAnsi"/>
                <w:color w:val="000000"/>
                <w:sz w:val="20"/>
                <w:szCs w:val="20"/>
              </w:rPr>
              <w:t>Previous Forecast</w:t>
            </w:r>
          </w:p>
        </w:tc>
        <w:tc>
          <w:tcPr>
            <w:tcW w:w="960" w:type="dxa"/>
            <w:shd w:val="clear" w:color="auto" w:fill="auto"/>
            <w:noWrap/>
            <w:vAlign w:val="bottom"/>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-5.0%</w:t>
            </w:r>
          </w:p>
        </w:tc>
        <w:tc>
          <w:tcPr>
            <w:tcW w:w="962" w:type="dxa"/>
            <w:shd w:val="clear" w:color="auto" w:fill="auto"/>
            <w:noWrap/>
            <w:vAlign w:val="bottom"/>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4.3%</w:t>
            </w:r>
          </w:p>
        </w:tc>
        <w:tc>
          <w:tcPr>
            <w:tcW w:w="960" w:type="dxa"/>
            <w:shd w:val="clear" w:color="auto" w:fill="auto"/>
            <w:noWrap/>
            <w:vAlign w:val="bottom"/>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5.8%</w:t>
            </w:r>
          </w:p>
        </w:tc>
        <w:tc>
          <w:tcPr>
            <w:tcW w:w="960" w:type="dxa"/>
            <w:shd w:val="clear" w:color="auto" w:fill="auto"/>
            <w:noWrap/>
            <w:vAlign w:val="bottom"/>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5.5%</w:t>
            </w:r>
          </w:p>
        </w:tc>
        <w:tc>
          <w:tcPr>
            <w:tcW w:w="960" w:type="dxa"/>
            <w:shd w:val="clear" w:color="auto" w:fill="auto"/>
            <w:noWrap/>
            <w:vAlign w:val="bottom"/>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5.2%</w:t>
            </w:r>
          </w:p>
        </w:tc>
        <w:tc>
          <w:tcPr>
            <w:tcW w:w="960" w:type="dxa"/>
            <w:shd w:val="clear" w:color="auto" w:fill="auto"/>
            <w:noWrap/>
            <w:vAlign w:val="bottom"/>
            <w:hideMark/>
          </w:tcPr>
          <w:p w:rsidR="00796390" w:rsidRPr="00DB24BD" w:rsidRDefault="00796390" w:rsidP="00796390">
            <w:pPr>
              <w:spacing w:after="0" w:line="240" w:lineRule="auto"/>
              <w:jc w:val="center"/>
              <w:rPr>
                <w:rFonts w:eastAsia="Times New Roman" w:cstheme="minorHAnsi"/>
                <w:color w:val="000000"/>
                <w:sz w:val="20"/>
                <w:szCs w:val="20"/>
              </w:rPr>
            </w:pP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ind w:firstLineChars="100" w:firstLine="200"/>
              <w:rPr>
                <w:rFonts w:eastAsia="Times New Roman" w:cstheme="minorHAnsi"/>
                <w:color w:val="000000"/>
                <w:sz w:val="20"/>
                <w:szCs w:val="20"/>
              </w:rPr>
            </w:pPr>
            <w:r w:rsidRPr="00DB24BD">
              <w:rPr>
                <w:rFonts w:eastAsia="Times New Roman" w:cstheme="minorHAnsi"/>
                <w:color w:val="000000"/>
                <w:sz w:val="20"/>
                <w:szCs w:val="20"/>
              </w:rPr>
              <w:t>Updated Forecast</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-6.8%</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10.0%</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6.0%</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5.5%</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5.2%</w:t>
            </w:r>
          </w:p>
        </w:tc>
        <w:tc>
          <w:tcPr>
            <w:tcW w:w="960" w:type="dxa"/>
            <w:shd w:val="clear" w:color="auto" w:fill="auto"/>
            <w:noWrap/>
            <w:hideMark/>
          </w:tcPr>
          <w:p w:rsidR="00796390" w:rsidRPr="00DB24BD" w:rsidRDefault="00796390" w:rsidP="00796390">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5.2%</w:t>
            </w:r>
          </w:p>
        </w:tc>
      </w:tr>
      <w:tr w:rsidR="00796390" w:rsidRPr="00DB24BD" w:rsidTr="00796390">
        <w:trPr>
          <w:trHeight w:val="113"/>
        </w:trPr>
        <w:tc>
          <w:tcPr>
            <w:tcW w:w="4176" w:type="dxa"/>
            <w:shd w:val="clear" w:color="auto" w:fill="auto"/>
            <w:noWrap/>
            <w:vAlign w:val="center"/>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Difference</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-1.8%</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5.7%</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0.2%</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0.0%</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0.0%</w:t>
            </w:r>
          </w:p>
        </w:tc>
        <w:tc>
          <w:tcPr>
            <w:tcW w:w="960" w:type="dxa"/>
            <w:shd w:val="clear" w:color="auto" w:fill="auto"/>
            <w:noWrap/>
            <w:hideMark/>
          </w:tcPr>
          <w:p w:rsidR="00796390" w:rsidRPr="00DB24BD" w:rsidRDefault="00796390" w:rsidP="00796390">
            <w:pPr>
              <w:spacing w:after="0" w:line="240" w:lineRule="auto"/>
              <w:jc w:val="center"/>
              <w:rPr>
                <w:rFonts w:eastAsia="Times New Roman" w:cstheme="minorHAnsi"/>
                <w:color w:val="000000"/>
                <w:sz w:val="20"/>
                <w:szCs w:val="20"/>
              </w:rPr>
            </w:pPr>
          </w:p>
        </w:tc>
      </w:tr>
      <w:tr w:rsidR="00796390" w:rsidRPr="00DB24BD" w:rsidTr="005C202D">
        <w:trPr>
          <w:trHeight w:val="113"/>
        </w:trPr>
        <w:tc>
          <w:tcPr>
            <w:tcW w:w="4176" w:type="dxa"/>
            <w:shd w:val="clear" w:color="auto" w:fill="auto"/>
            <w:noWrap/>
            <w:vAlign w:val="center"/>
            <w:hideMark/>
          </w:tcPr>
          <w:p w:rsidR="00796390" w:rsidRPr="00DB24BD" w:rsidRDefault="00796390" w:rsidP="00796390">
            <w:pPr>
              <w:spacing w:after="0" w:line="240" w:lineRule="auto"/>
              <w:rPr>
                <w:rFonts w:eastAsia="Times New Roman" w:cstheme="minorHAnsi"/>
                <w:b/>
                <w:bCs/>
                <w:color w:val="000000"/>
                <w:sz w:val="20"/>
                <w:szCs w:val="20"/>
              </w:rPr>
            </w:pPr>
            <w:r w:rsidRPr="00DB24BD">
              <w:rPr>
                <w:rFonts w:eastAsia="Times New Roman" w:cstheme="minorHAnsi"/>
                <w:b/>
                <w:color w:val="000000"/>
                <w:sz w:val="20"/>
                <w:szCs w:val="20"/>
              </w:rPr>
              <w:t>Percentage Change of GDP Deflator</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2"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jc w:val="center"/>
              <w:rPr>
                <w:rFonts w:eastAsia="Times New Roman" w:cstheme="minorHAnsi"/>
                <w:color w:val="000000"/>
                <w:sz w:val="20"/>
                <w:szCs w:val="20"/>
              </w:rPr>
            </w:pP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ind w:firstLineChars="100" w:firstLine="200"/>
              <w:rPr>
                <w:rFonts w:eastAsia="Times New Roman" w:cstheme="minorHAnsi"/>
                <w:color w:val="000000"/>
                <w:sz w:val="20"/>
                <w:szCs w:val="20"/>
              </w:rPr>
            </w:pPr>
            <w:r w:rsidRPr="00DB24BD">
              <w:rPr>
                <w:rFonts w:eastAsia="Times New Roman" w:cstheme="minorHAnsi"/>
                <w:color w:val="000000"/>
                <w:sz w:val="20"/>
                <w:szCs w:val="20"/>
              </w:rPr>
              <w:t>Previous Forecast</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5.5%</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3.8%</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3.0%</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3.0%</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3.0%</w:t>
            </w:r>
          </w:p>
        </w:tc>
        <w:tc>
          <w:tcPr>
            <w:tcW w:w="960" w:type="dxa"/>
            <w:shd w:val="clear" w:color="auto" w:fill="auto"/>
            <w:noWrap/>
            <w:hideMark/>
          </w:tcPr>
          <w:p w:rsidR="00796390" w:rsidRPr="00DB24BD" w:rsidRDefault="00796390" w:rsidP="00796390">
            <w:pPr>
              <w:spacing w:after="0" w:line="240" w:lineRule="auto"/>
              <w:jc w:val="center"/>
              <w:rPr>
                <w:rFonts w:eastAsia="Times New Roman" w:cstheme="minorHAnsi"/>
                <w:color w:val="000000"/>
                <w:sz w:val="20"/>
                <w:szCs w:val="20"/>
              </w:rPr>
            </w:pP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ind w:firstLineChars="100" w:firstLine="200"/>
              <w:rPr>
                <w:rFonts w:eastAsia="Times New Roman" w:cstheme="minorHAnsi"/>
                <w:color w:val="000000"/>
                <w:sz w:val="20"/>
                <w:szCs w:val="20"/>
              </w:rPr>
            </w:pPr>
            <w:r w:rsidRPr="00DB24BD">
              <w:rPr>
                <w:rFonts w:eastAsia="Times New Roman" w:cstheme="minorHAnsi"/>
                <w:color w:val="000000"/>
                <w:sz w:val="20"/>
                <w:szCs w:val="20"/>
              </w:rPr>
              <w:t>Updated Forecast</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7.3%</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8.0%</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4.5%</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3.0%</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3.0%</w:t>
            </w:r>
          </w:p>
        </w:tc>
        <w:tc>
          <w:tcPr>
            <w:tcW w:w="960" w:type="dxa"/>
            <w:shd w:val="clear" w:color="auto" w:fill="auto"/>
            <w:noWrap/>
            <w:hideMark/>
          </w:tcPr>
          <w:p w:rsidR="00796390" w:rsidRPr="00DB24BD" w:rsidRDefault="00796390" w:rsidP="00796390">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3.0%</w:t>
            </w:r>
          </w:p>
        </w:tc>
      </w:tr>
      <w:tr w:rsidR="00796390" w:rsidRPr="00DB24BD" w:rsidTr="005C202D">
        <w:trPr>
          <w:trHeight w:val="113"/>
        </w:trPr>
        <w:tc>
          <w:tcPr>
            <w:tcW w:w="4176" w:type="dxa"/>
            <w:shd w:val="clear" w:color="auto" w:fill="auto"/>
            <w:noWrap/>
            <w:vAlign w:val="center"/>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Difference</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1.8%</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4.2%</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1.5%</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0.0%</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0.0%</w:t>
            </w:r>
          </w:p>
        </w:tc>
        <w:tc>
          <w:tcPr>
            <w:tcW w:w="960" w:type="dxa"/>
            <w:shd w:val="clear" w:color="auto" w:fill="auto"/>
            <w:noWrap/>
            <w:hideMark/>
          </w:tcPr>
          <w:p w:rsidR="00796390" w:rsidRPr="00DB24BD" w:rsidRDefault="00796390" w:rsidP="00796390">
            <w:pPr>
              <w:spacing w:after="0" w:line="240" w:lineRule="auto"/>
              <w:jc w:val="center"/>
              <w:rPr>
                <w:rFonts w:eastAsia="Times New Roman" w:cstheme="minorHAnsi"/>
                <w:color w:val="000000"/>
                <w:sz w:val="20"/>
                <w:szCs w:val="20"/>
              </w:rPr>
            </w:pP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rPr>
                <w:rFonts w:eastAsia="Times New Roman" w:cstheme="minorHAnsi"/>
                <w:b/>
                <w:color w:val="000000"/>
                <w:sz w:val="20"/>
                <w:szCs w:val="20"/>
              </w:rPr>
            </w:pPr>
            <w:r w:rsidRPr="00DB24BD">
              <w:rPr>
                <w:rFonts w:eastAsia="Times New Roman" w:cstheme="minorHAnsi"/>
                <w:b/>
                <w:color w:val="000000"/>
                <w:sz w:val="20"/>
                <w:szCs w:val="20"/>
              </w:rPr>
              <w:t>Interest Rates on Loans,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2"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jc w:val="center"/>
              <w:rPr>
                <w:rFonts w:eastAsia="Times New Roman" w:cstheme="minorHAnsi"/>
                <w:color w:val="000000"/>
                <w:sz w:val="20"/>
                <w:szCs w:val="20"/>
              </w:rPr>
            </w:pP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ind w:firstLineChars="100" w:firstLine="200"/>
              <w:rPr>
                <w:rFonts w:eastAsia="Times New Roman" w:cstheme="minorHAnsi"/>
                <w:color w:val="000000"/>
                <w:sz w:val="20"/>
                <w:szCs w:val="20"/>
                <w:lang w:val="ka-GE"/>
              </w:rPr>
            </w:pPr>
            <w:r w:rsidRPr="00DB24BD">
              <w:rPr>
                <w:rFonts w:eastAsia="Times New Roman" w:cstheme="minorHAnsi"/>
                <w:color w:val="000000"/>
                <w:sz w:val="20"/>
                <w:szCs w:val="20"/>
              </w:rPr>
              <w:t>Previous Forecast</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14.1%</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13.1%</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12.1%</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11.1%</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10.1%</w:t>
            </w:r>
          </w:p>
        </w:tc>
        <w:tc>
          <w:tcPr>
            <w:tcW w:w="960" w:type="dxa"/>
            <w:shd w:val="clear" w:color="auto" w:fill="auto"/>
            <w:noWrap/>
            <w:hideMark/>
          </w:tcPr>
          <w:p w:rsidR="00796390" w:rsidRPr="00DB24BD" w:rsidRDefault="00796390" w:rsidP="00796390">
            <w:pPr>
              <w:spacing w:after="0" w:line="240" w:lineRule="auto"/>
              <w:jc w:val="center"/>
              <w:rPr>
                <w:rFonts w:eastAsia="Times New Roman" w:cstheme="minorHAnsi"/>
                <w:color w:val="000000"/>
                <w:sz w:val="20"/>
                <w:szCs w:val="20"/>
              </w:rPr>
            </w:pP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ind w:firstLineChars="100" w:firstLine="200"/>
              <w:rPr>
                <w:rFonts w:eastAsia="Times New Roman" w:cstheme="minorHAnsi"/>
                <w:color w:val="000000"/>
                <w:sz w:val="20"/>
                <w:szCs w:val="20"/>
              </w:rPr>
            </w:pPr>
            <w:r w:rsidRPr="00DB24BD">
              <w:rPr>
                <w:rFonts w:eastAsia="Times New Roman" w:cstheme="minorHAnsi"/>
                <w:color w:val="000000"/>
                <w:sz w:val="20"/>
                <w:szCs w:val="20"/>
              </w:rPr>
              <w:t>Updated Forecast</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15.7%</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14.7%</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13.7%</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12.7%</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11.7%</w:t>
            </w:r>
          </w:p>
        </w:tc>
        <w:tc>
          <w:tcPr>
            <w:tcW w:w="960" w:type="dxa"/>
            <w:shd w:val="clear" w:color="auto" w:fill="auto"/>
            <w:noWrap/>
            <w:hideMark/>
          </w:tcPr>
          <w:p w:rsidR="00796390" w:rsidRPr="00DB24BD" w:rsidRDefault="00796390" w:rsidP="00796390">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10.7%</w:t>
            </w:r>
          </w:p>
        </w:tc>
      </w:tr>
      <w:tr w:rsidR="00796390" w:rsidRPr="00DB24BD" w:rsidTr="005C202D">
        <w:trPr>
          <w:trHeight w:val="113"/>
        </w:trPr>
        <w:tc>
          <w:tcPr>
            <w:tcW w:w="4176" w:type="dxa"/>
            <w:shd w:val="clear" w:color="auto" w:fill="auto"/>
            <w:noWrap/>
            <w:vAlign w:val="center"/>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Difference</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1.6%</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1.6%</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1.6%</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1.6%</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1.6%</w:t>
            </w:r>
          </w:p>
        </w:tc>
        <w:tc>
          <w:tcPr>
            <w:tcW w:w="960" w:type="dxa"/>
            <w:shd w:val="clear" w:color="auto" w:fill="auto"/>
            <w:noWrap/>
            <w:hideMark/>
          </w:tcPr>
          <w:p w:rsidR="00796390" w:rsidRPr="00DB24BD" w:rsidRDefault="00796390" w:rsidP="00796390">
            <w:pPr>
              <w:spacing w:after="0" w:line="240" w:lineRule="auto"/>
              <w:jc w:val="center"/>
              <w:rPr>
                <w:rFonts w:eastAsia="Times New Roman" w:cstheme="minorHAnsi"/>
                <w:color w:val="000000"/>
                <w:sz w:val="20"/>
                <w:szCs w:val="20"/>
              </w:rPr>
            </w:pPr>
          </w:p>
        </w:tc>
      </w:tr>
      <w:tr w:rsidR="00796390" w:rsidRPr="00DB24BD" w:rsidTr="005C202D">
        <w:trPr>
          <w:trHeight w:val="113"/>
        </w:trPr>
        <w:tc>
          <w:tcPr>
            <w:tcW w:w="4176" w:type="dxa"/>
            <w:shd w:val="clear" w:color="auto" w:fill="auto"/>
            <w:noWrap/>
            <w:vAlign w:val="center"/>
            <w:hideMark/>
          </w:tcPr>
          <w:p w:rsidR="00796390" w:rsidRPr="00DB24BD" w:rsidRDefault="00796390" w:rsidP="00796390">
            <w:pPr>
              <w:spacing w:after="0" w:line="240" w:lineRule="auto"/>
              <w:rPr>
                <w:rFonts w:eastAsia="Times New Roman" w:cstheme="minorHAnsi"/>
                <w:b/>
                <w:bCs/>
                <w:color w:val="000000"/>
                <w:sz w:val="20"/>
                <w:szCs w:val="20"/>
              </w:rPr>
            </w:pPr>
            <w:r w:rsidRPr="00DB24BD">
              <w:rPr>
                <w:rFonts w:eastAsia="Times New Roman" w:cstheme="minorHAnsi"/>
                <w:b/>
                <w:color w:val="000000"/>
                <w:sz w:val="20"/>
                <w:szCs w:val="20"/>
              </w:rPr>
              <w:t>Interest Rates on Deposits,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2"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960"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ind w:firstLineChars="100" w:firstLine="200"/>
              <w:rPr>
                <w:rFonts w:eastAsia="Times New Roman" w:cstheme="minorHAnsi"/>
                <w:color w:val="000000"/>
                <w:sz w:val="20"/>
                <w:szCs w:val="20"/>
              </w:rPr>
            </w:pPr>
            <w:r w:rsidRPr="00DB24BD">
              <w:rPr>
                <w:rFonts w:eastAsia="Times New Roman" w:cstheme="minorHAnsi"/>
                <w:color w:val="000000"/>
                <w:sz w:val="20"/>
                <w:szCs w:val="20"/>
              </w:rPr>
              <w:t>Previous Forecast</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7.3%</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6.8%</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6.3%</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5.8%</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5.3%</w:t>
            </w:r>
          </w:p>
        </w:tc>
        <w:tc>
          <w:tcPr>
            <w:tcW w:w="960" w:type="dxa"/>
            <w:shd w:val="clear" w:color="auto" w:fill="auto"/>
            <w:noWrap/>
            <w:hideMark/>
          </w:tcPr>
          <w:p w:rsidR="00796390" w:rsidRPr="00DB24BD" w:rsidRDefault="00796390" w:rsidP="00796390">
            <w:pPr>
              <w:spacing w:after="0" w:line="240" w:lineRule="auto"/>
              <w:rPr>
                <w:rFonts w:eastAsia="Times New Roman" w:cstheme="minorHAnsi"/>
                <w:color w:val="000000"/>
                <w:sz w:val="20"/>
                <w:szCs w:val="20"/>
              </w:rPr>
            </w:pPr>
          </w:p>
        </w:tc>
      </w:tr>
      <w:tr w:rsidR="00796390" w:rsidRPr="00DB24BD" w:rsidTr="005C202D">
        <w:trPr>
          <w:trHeight w:val="113"/>
        </w:trPr>
        <w:tc>
          <w:tcPr>
            <w:tcW w:w="4176" w:type="dxa"/>
            <w:shd w:val="clear" w:color="auto" w:fill="auto"/>
            <w:noWrap/>
            <w:vAlign w:val="center"/>
            <w:hideMark/>
          </w:tcPr>
          <w:p w:rsidR="00796390" w:rsidRPr="00DB24BD" w:rsidRDefault="00796390" w:rsidP="00796390">
            <w:pPr>
              <w:spacing w:after="0" w:line="240" w:lineRule="auto"/>
              <w:rPr>
                <w:rFonts w:eastAsia="Times New Roman" w:cstheme="minorHAnsi"/>
                <w:b/>
                <w:bCs/>
                <w:color w:val="000000"/>
                <w:sz w:val="20"/>
                <w:szCs w:val="20"/>
              </w:rPr>
            </w:pPr>
            <w:r w:rsidRPr="00DB24BD">
              <w:rPr>
                <w:rFonts w:eastAsia="Times New Roman" w:cstheme="minorHAnsi"/>
                <w:b/>
                <w:color w:val="000000"/>
                <w:sz w:val="20"/>
                <w:szCs w:val="20"/>
              </w:rPr>
              <w:t>Percentage Change of GDP Deflator</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9.2%</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8.7%</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8.2%</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7.7%</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7.2%</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6.7%</w:t>
            </w:r>
          </w:p>
        </w:tc>
      </w:tr>
      <w:tr w:rsidR="00796390" w:rsidRPr="00DB24BD" w:rsidTr="00796390">
        <w:trPr>
          <w:trHeight w:val="113"/>
        </w:trPr>
        <w:tc>
          <w:tcPr>
            <w:tcW w:w="4176" w:type="dxa"/>
            <w:shd w:val="clear" w:color="auto" w:fill="auto"/>
            <w:noWrap/>
            <w:vAlign w:val="bottom"/>
            <w:hideMark/>
          </w:tcPr>
          <w:p w:rsidR="00796390" w:rsidRPr="00DB24BD" w:rsidRDefault="00796390" w:rsidP="00796390">
            <w:pPr>
              <w:spacing w:after="0" w:line="240" w:lineRule="auto"/>
              <w:ind w:firstLineChars="100" w:firstLine="200"/>
              <w:rPr>
                <w:rFonts w:eastAsia="Times New Roman" w:cstheme="minorHAnsi"/>
                <w:color w:val="000000"/>
                <w:sz w:val="20"/>
                <w:szCs w:val="20"/>
              </w:rPr>
            </w:pPr>
            <w:r w:rsidRPr="00DB24BD">
              <w:rPr>
                <w:rFonts w:eastAsia="Times New Roman" w:cstheme="minorHAnsi"/>
                <w:color w:val="000000"/>
                <w:sz w:val="20"/>
                <w:szCs w:val="20"/>
              </w:rPr>
              <w:t>Previous Forecast</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1.9%</w:t>
            </w:r>
          </w:p>
        </w:tc>
        <w:tc>
          <w:tcPr>
            <w:tcW w:w="962"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1.9%</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1.9%</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1.9%</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1.9%</w:t>
            </w:r>
          </w:p>
        </w:tc>
        <w:tc>
          <w:tcPr>
            <w:tcW w:w="960" w:type="dxa"/>
            <w:shd w:val="clear" w:color="auto" w:fill="auto"/>
            <w:noWrap/>
            <w:hideMark/>
          </w:tcPr>
          <w:p w:rsidR="00796390" w:rsidRPr="00DB24BD" w:rsidRDefault="00796390" w:rsidP="00796390">
            <w:pPr>
              <w:spacing w:after="0" w:line="240" w:lineRule="auto"/>
              <w:jc w:val="right"/>
              <w:rPr>
                <w:rFonts w:eastAsia="Times New Roman" w:cstheme="minorHAnsi"/>
                <w:color w:val="000000"/>
                <w:sz w:val="20"/>
                <w:szCs w:val="20"/>
              </w:rPr>
            </w:pPr>
          </w:p>
        </w:tc>
      </w:tr>
    </w:tbl>
    <w:p w:rsidR="00F61572" w:rsidRPr="00DB24BD" w:rsidRDefault="00F61572" w:rsidP="00F61572">
      <w:pPr>
        <w:pStyle w:val="NoSpacing"/>
        <w:spacing w:line="276" w:lineRule="auto"/>
        <w:ind w:firstLine="720"/>
        <w:jc w:val="both"/>
        <w:rPr>
          <w:rFonts w:cstheme="minorHAnsi"/>
          <w:sz w:val="24"/>
          <w:szCs w:val="24"/>
          <w:highlight w:val="red"/>
          <w:lang w:val="ka-GE"/>
        </w:rPr>
      </w:pPr>
    </w:p>
    <w:p w:rsidR="00E248EF" w:rsidRPr="00DB24BD" w:rsidRDefault="005C202D" w:rsidP="00E248EF">
      <w:pPr>
        <w:pStyle w:val="NoSpacing"/>
        <w:spacing w:line="276" w:lineRule="auto"/>
        <w:ind w:firstLine="720"/>
        <w:jc w:val="both"/>
        <w:rPr>
          <w:rFonts w:cstheme="minorHAnsi"/>
          <w:sz w:val="24"/>
          <w:szCs w:val="24"/>
          <w:lang w:val="ka-GE"/>
        </w:rPr>
      </w:pPr>
      <w:r w:rsidRPr="00DB24BD">
        <w:rPr>
          <w:rFonts w:cstheme="minorHAnsi"/>
          <w:sz w:val="24"/>
          <w:szCs w:val="24"/>
        </w:rPr>
        <w:t>Table</w:t>
      </w:r>
      <w:r w:rsidR="00F61572" w:rsidRPr="00DB24BD">
        <w:rPr>
          <w:rFonts w:cstheme="minorHAnsi"/>
          <w:sz w:val="24"/>
          <w:szCs w:val="24"/>
          <w:lang w:val="ka-GE"/>
        </w:rPr>
        <w:t xml:space="preserve"> №1 </w:t>
      </w:r>
      <w:r w:rsidRPr="00DB24BD">
        <w:rPr>
          <w:rFonts w:cstheme="minorHAnsi"/>
          <w:sz w:val="24"/>
          <w:szCs w:val="24"/>
        </w:rPr>
        <w:t xml:space="preserve">shows changes in major assumptions. The table includes 2020 actual figures </w:t>
      </w:r>
      <w:r w:rsidR="00E248EF" w:rsidRPr="00DB24BD">
        <w:rPr>
          <w:rFonts w:cstheme="minorHAnsi"/>
          <w:sz w:val="24"/>
          <w:szCs w:val="24"/>
        </w:rPr>
        <w:t>to disclose the effect of previous year adjustment</w:t>
      </w:r>
      <w:r w:rsidR="00F61572" w:rsidRPr="00DB24BD">
        <w:rPr>
          <w:rFonts w:cstheme="minorHAnsi"/>
          <w:sz w:val="24"/>
          <w:szCs w:val="24"/>
          <w:lang w:val="ka-GE"/>
        </w:rPr>
        <w:t xml:space="preserve">. </w:t>
      </w:r>
      <w:r w:rsidR="00E248EF" w:rsidRPr="00DB24BD">
        <w:rPr>
          <w:rFonts w:cstheme="minorHAnsi"/>
          <w:sz w:val="24"/>
          <w:szCs w:val="24"/>
        </w:rPr>
        <w:t>2020 GDP growth has turned out 1.8% lower than the last forecast, mainly influenced by the pandemic second wave. 2021 forecast on the other hand has been significantly adusted upward, as a result of the lower base and faster than expected recovery, since some risks assumed in baseline and pessimistic scenario for post-pandemic period have not materialized, such as decreased demand. Though these risks still remain valid for the medium-term with lower probability.</w:t>
      </w:r>
    </w:p>
    <w:p w:rsidR="00F61572" w:rsidRPr="00DB24BD" w:rsidRDefault="00E248EF" w:rsidP="00F61572">
      <w:pPr>
        <w:pStyle w:val="NoSpacing"/>
        <w:spacing w:line="276" w:lineRule="auto"/>
        <w:ind w:firstLine="720"/>
        <w:jc w:val="both"/>
        <w:rPr>
          <w:rFonts w:cstheme="minorHAnsi"/>
          <w:sz w:val="24"/>
          <w:szCs w:val="24"/>
          <w:lang w:val="ka-GE"/>
        </w:rPr>
      </w:pPr>
      <w:r w:rsidRPr="00DB24BD">
        <w:rPr>
          <w:rFonts w:cstheme="minorHAnsi"/>
          <w:sz w:val="24"/>
          <w:szCs w:val="24"/>
        </w:rPr>
        <w:t xml:space="preserve">GDP deflator figures are increased in actual as well as forecasted parameters, as a result of globally increasing inflation trends. These are influenced by higher prices on goods and material and distorted supply chains with stronger effects than originally projected in the baseline. High inflation expectations are also translated into higher interenst rates As a result of changes in real GDP growth and deflator, naturally nominal GDP figures have also been changed. </w:t>
      </w:r>
    </w:p>
    <w:p w:rsidR="006A057A" w:rsidRDefault="006A057A" w:rsidP="00F61572">
      <w:pPr>
        <w:pStyle w:val="NoSpacing"/>
        <w:spacing w:line="276" w:lineRule="auto"/>
        <w:jc w:val="both"/>
        <w:rPr>
          <w:rFonts w:eastAsia="Times New Roman" w:cstheme="minorHAnsi"/>
          <w:b/>
          <w:bCs/>
          <w:color w:val="000000"/>
          <w:sz w:val="24"/>
          <w:szCs w:val="24"/>
        </w:rPr>
      </w:pPr>
    </w:p>
    <w:p w:rsidR="00DB24BD" w:rsidRPr="00DB24BD" w:rsidRDefault="00DB24BD" w:rsidP="00F61572">
      <w:pPr>
        <w:pStyle w:val="NoSpacing"/>
        <w:spacing w:line="276" w:lineRule="auto"/>
        <w:jc w:val="both"/>
        <w:rPr>
          <w:rFonts w:eastAsia="Times New Roman" w:cstheme="minorHAnsi"/>
          <w:b/>
          <w:bCs/>
          <w:color w:val="000000"/>
          <w:sz w:val="24"/>
          <w:szCs w:val="24"/>
        </w:rPr>
      </w:pPr>
    </w:p>
    <w:p w:rsidR="00796390" w:rsidRPr="00DB24BD" w:rsidRDefault="00796390" w:rsidP="00796390">
      <w:pPr>
        <w:pStyle w:val="NoSpacing"/>
        <w:rPr>
          <w:rFonts w:eastAsia="Times New Roman" w:cstheme="minorHAnsi"/>
          <w:b/>
          <w:bCs/>
          <w:color w:val="000000"/>
          <w:sz w:val="24"/>
          <w:szCs w:val="24"/>
        </w:rPr>
      </w:pPr>
      <w:r w:rsidRPr="00DB24BD">
        <w:rPr>
          <w:rFonts w:eastAsia="Times New Roman" w:cstheme="minorHAnsi"/>
          <w:b/>
          <w:bCs/>
          <w:color w:val="000000"/>
          <w:sz w:val="24"/>
          <w:szCs w:val="24"/>
        </w:rPr>
        <w:t>Table 2. Change in Nominal GDP</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F61572" w:rsidRPr="00DB24BD" w:rsidTr="00F61572">
        <w:trPr>
          <w:trHeight w:val="300"/>
        </w:trPr>
        <w:tc>
          <w:tcPr>
            <w:tcW w:w="4176" w:type="dxa"/>
            <w:shd w:val="clear" w:color="auto" w:fill="auto"/>
            <w:noWrap/>
            <w:vAlign w:val="bottom"/>
            <w:hideMark/>
          </w:tcPr>
          <w:p w:rsidR="00F61572" w:rsidRPr="00DB24BD" w:rsidRDefault="00796390" w:rsidP="00F61572">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(Million GEL)</w:t>
            </w:r>
          </w:p>
        </w:tc>
        <w:tc>
          <w:tcPr>
            <w:tcW w:w="1001"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2020</w:t>
            </w:r>
          </w:p>
        </w:tc>
        <w:tc>
          <w:tcPr>
            <w:tcW w:w="1001"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2021</w:t>
            </w:r>
          </w:p>
        </w:tc>
        <w:tc>
          <w:tcPr>
            <w:tcW w:w="110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2022</w:t>
            </w:r>
          </w:p>
        </w:tc>
        <w:tc>
          <w:tcPr>
            <w:tcW w:w="110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2023</w:t>
            </w:r>
          </w:p>
        </w:tc>
        <w:tc>
          <w:tcPr>
            <w:tcW w:w="110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2024</w:t>
            </w:r>
          </w:p>
        </w:tc>
        <w:tc>
          <w:tcPr>
            <w:tcW w:w="110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2025</w:t>
            </w:r>
          </w:p>
        </w:tc>
      </w:tr>
      <w:tr w:rsidR="00796390" w:rsidRPr="00DB24BD" w:rsidTr="005C202D">
        <w:trPr>
          <w:trHeight w:val="300"/>
        </w:trPr>
        <w:tc>
          <w:tcPr>
            <w:tcW w:w="4176" w:type="dxa"/>
            <w:shd w:val="clear" w:color="auto" w:fill="auto"/>
            <w:noWrap/>
            <w:vAlign w:val="bottom"/>
            <w:hideMark/>
          </w:tcPr>
          <w:p w:rsidR="00796390" w:rsidRPr="00DB24BD" w:rsidRDefault="00796390" w:rsidP="00796390">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1001" w:type="dxa"/>
            <w:shd w:val="clear" w:color="auto" w:fill="auto"/>
            <w:noWrap/>
            <w:vAlign w:val="center"/>
            <w:hideMark/>
          </w:tcPr>
          <w:p w:rsidR="00796390" w:rsidRPr="00DB24BD" w:rsidRDefault="00796390" w:rsidP="00796390">
            <w:pPr>
              <w:pStyle w:val="NoSpacing"/>
              <w:jc w:val="center"/>
              <w:rPr>
                <w:rFonts w:eastAsia="Times New Roman" w:cstheme="minorHAnsi"/>
                <w:b/>
                <w:bCs/>
                <w:color w:val="000000"/>
                <w:sz w:val="20"/>
                <w:szCs w:val="20"/>
              </w:rPr>
            </w:pPr>
            <w:r w:rsidRPr="00DB24BD">
              <w:rPr>
                <w:rFonts w:eastAsia="Times New Roman" w:cstheme="minorHAnsi"/>
                <w:color w:val="000000"/>
                <w:sz w:val="20"/>
                <w:szCs w:val="20"/>
              </w:rPr>
              <w:t>Actual</w:t>
            </w:r>
          </w:p>
        </w:tc>
        <w:tc>
          <w:tcPr>
            <w:tcW w:w="1001" w:type="dxa"/>
            <w:shd w:val="clear" w:color="auto" w:fill="auto"/>
            <w:noWrap/>
            <w:vAlign w:val="center"/>
            <w:hideMark/>
          </w:tcPr>
          <w:p w:rsidR="00796390" w:rsidRPr="00DB24BD" w:rsidRDefault="00796390" w:rsidP="00796390">
            <w:pPr>
              <w:pStyle w:val="NoSpacing"/>
              <w:jc w:val="center"/>
              <w:rPr>
                <w:rFonts w:eastAsia="Times New Roman" w:cstheme="minorHAnsi"/>
                <w:b/>
                <w:bCs/>
                <w:color w:val="000000"/>
                <w:sz w:val="20"/>
                <w:szCs w:val="20"/>
              </w:rPr>
            </w:pPr>
            <w:r w:rsidRPr="00DB24BD">
              <w:rPr>
                <w:rFonts w:eastAsia="Times New Roman" w:cstheme="minorHAnsi"/>
                <w:color w:val="000000"/>
                <w:sz w:val="20"/>
                <w:szCs w:val="20"/>
              </w:rPr>
              <w:t>Expected</w:t>
            </w:r>
          </w:p>
        </w:tc>
        <w:tc>
          <w:tcPr>
            <w:tcW w:w="1100" w:type="dxa"/>
            <w:shd w:val="clear" w:color="auto" w:fill="auto"/>
            <w:noWrap/>
            <w:vAlign w:val="center"/>
            <w:hideMark/>
          </w:tcPr>
          <w:p w:rsidR="00796390" w:rsidRPr="00DB24BD" w:rsidRDefault="00796390" w:rsidP="00796390">
            <w:pPr>
              <w:pStyle w:val="NoSpacing"/>
              <w:jc w:val="center"/>
              <w:rPr>
                <w:rFonts w:eastAsia="Times New Roman" w:cstheme="minorHAnsi"/>
                <w:b/>
                <w:bCs/>
                <w:color w:val="000000"/>
                <w:sz w:val="20"/>
                <w:szCs w:val="20"/>
              </w:rPr>
            </w:pPr>
            <w:r w:rsidRPr="00DB24BD">
              <w:rPr>
                <w:rFonts w:eastAsia="Times New Roman" w:cstheme="minorHAnsi"/>
                <w:color w:val="000000"/>
                <w:sz w:val="20"/>
                <w:szCs w:val="20"/>
              </w:rPr>
              <w:t>Forecast</w:t>
            </w:r>
          </w:p>
        </w:tc>
        <w:tc>
          <w:tcPr>
            <w:tcW w:w="1100" w:type="dxa"/>
            <w:shd w:val="clear" w:color="auto" w:fill="auto"/>
            <w:noWrap/>
            <w:vAlign w:val="center"/>
            <w:hideMark/>
          </w:tcPr>
          <w:p w:rsidR="00796390" w:rsidRPr="00DB24BD" w:rsidRDefault="00796390" w:rsidP="00796390">
            <w:pPr>
              <w:pStyle w:val="NoSpacing"/>
              <w:jc w:val="center"/>
              <w:rPr>
                <w:rFonts w:eastAsia="Times New Roman" w:cstheme="minorHAnsi"/>
                <w:b/>
                <w:bCs/>
                <w:color w:val="000000"/>
                <w:sz w:val="20"/>
                <w:szCs w:val="20"/>
              </w:rPr>
            </w:pPr>
            <w:r w:rsidRPr="00DB24BD">
              <w:rPr>
                <w:rFonts w:eastAsia="Times New Roman" w:cstheme="minorHAnsi"/>
                <w:color w:val="000000"/>
                <w:sz w:val="20"/>
                <w:szCs w:val="20"/>
              </w:rPr>
              <w:t>Forecast</w:t>
            </w:r>
          </w:p>
        </w:tc>
        <w:tc>
          <w:tcPr>
            <w:tcW w:w="1100" w:type="dxa"/>
            <w:shd w:val="clear" w:color="auto" w:fill="auto"/>
            <w:noWrap/>
            <w:vAlign w:val="center"/>
            <w:hideMark/>
          </w:tcPr>
          <w:p w:rsidR="00796390" w:rsidRPr="00DB24BD" w:rsidRDefault="00796390" w:rsidP="00796390">
            <w:pPr>
              <w:pStyle w:val="NoSpacing"/>
              <w:jc w:val="center"/>
              <w:rPr>
                <w:rFonts w:eastAsia="Times New Roman" w:cstheme="minorHAnsi"/>
                <w:b/>
                <w:bCs/>
                <w:color w:val="000000"/>
                <w:sz w:val="20"/>
                <w:szCs w:val="20"/>
              </w:rPr>
            </w:pPr>
            <w:r w:rsidRPr="00DB24BD">
              <w:rPr>
                <w:rFonts w:eastAsia="Times New Roman" w:cstheme="minorHAnsi"/>
                <w:color w:val="000000"/>
                <w:sz w:val="20"/>
                <w:szCs w:val="20"/>
              </w:rPr>
              <w:t>Forecast</w:t>
            </w:r>
          </w:p>
        </w:tc>
        <w:tc>
          <w:tcPr>
            <w:tcW w:w="1100" w:type="dxa"/>
            <w:shd w:val="clear" w:color="auto" w:fill="auto"/>
            <w:noWrap/>
            <w:vAlign w:val="center"/>
            <w:hideMark/>
          </w:tcPr>
          <w:p w:rsidR="00796390" w:rsidRPr="00DB24BD" w:rsidRDefault="00796390" w:rsidP="00796390">
            <w:pPr>
              <w:pStyle w:val="NoSpacing"/>
              <w:jc w:val="center"/>
              <w:rPr>
                <w:rFonts w:eastAsia="Times New Roman" w:cstheme="minorHAnsi"/>
                <w:b/>
                <w:bCs/>
                <w:color w:val="000000"/>
                <w:sz w:val="20"/>
                <w:szCs w:val="20"/>
              </w:rPr>
            </w:pPr>
            <w:r w:rsidRPr="00DB24BD">
              <w:rPr>
                <w:rFonts w:eastAsia="Times New Roman" w:cstheme="minorHAnsi"/>
                <w:color w:val="000000"/>
                <w:sz w:val="20"/>
                <w:szCs w:val="20"/>
              </w:rPr>
              <w:t>Forecast</w:t>
            </w:r>
          </w:p>
        </w:tc>
      </w:tr>
      <w:tr w:rsidR="00796390" w:rsidRPr="00DB24BD" w:rsidTr="005C202D">
        <w:trPr>
          <w:trHeight w:val="300"/>
        </w:trPr>
        <w:tc>
          <w:tcPr>
            <w:tcW w:w="4176" w:type="dxa"/>
            <w:shd w:val="clear" w:color="auto" w:fill="auto"/>
            <w:noWrap/>
            <w:vAlign w:val="center"/>
            <w:hideMark/>
          </w:tcPr>
          <w:p w:rsidR="00796390" w:rsidRPr="00DB24BD" w:rsidRDefault="00796390" w:rsidP="005C202D">
            <w:pPr>
              <w:pStyle w:val="NoSpacing"/>
              <w:rPr>
                <w:rFonts w:eastAsia="Times New Roman" w:cstheme="minorHAnsi"/>
                <w:color w:val="000000"/>
                <w:sz w:val="20"/>
                <w:szCs w:val="20"/>
              </w:rPr>
            </w:pPr>
            <w:r w:rsidRPr="00DB24BD">
              <w:rPr>
                <w:rFonts w:eastAsia="Times New Roman" w:cstheme="minorHAnsi"/>
                <w:b/>
                <w:bCs/>
                <w:color w:val="000000"/>
                <w:sz w:val="20"/>
                <w:szCs w:val="20"/>
              </w:rPr>
              <w:t>Forecast of Nominal GDP</w:t>
            </w:r>
            <w:r w:rsidRPr="00DB24BD">
              <w:rPr>
                <w:rFonts w:eastAsia="Times New Roman" w:cstheme="minorHAnsi"/>
                <w:color w:val="000000"/>
                <w:sz w:val="20"/>
                <w:szCs w:val="20"/>
              </w:rPr>
              <w:t xml:space="preserve"> </w:t>
            </w:r>
            <w:r w:rsidRPr="00DB24BD">
              <w:rPr>
                <w:rFonts w:eastAsia="Times New Roman" w:cstheme="minorHAnsi"/>
                <w:b/>
                <w:color w:val="000000"/>
                <w:sz w:val="20"/>
                <w:szCs w:val="20"/>
              </w:rPr>
              <w:t>December 20</w:t>
            </w:r>
            <w:r w:rsidR="005C202D" w:rsidRPr="00DB24BD">
              <w:rPr>
                <w:rFonts w:eastAsia="Times New Roman" w:cstheme="minorHAnsi"/>
                <w:b/>
                <w:color w:val="000000"/>
                <w:sz w:val="20"/>
                <w:szCs w:val="20"/>
              </w:rPr>
              <w:t>20</w:t>
            </w:r>
            <w:r w:rsidRPr="00DB24BD">
              <w:rPr>
                <w:rFonts w:eastAsia="Times New Roman" w:cstheme="minorHAnsi"/>
                <w:b/>
                <w:color w:val="000000"/>
                <w:sz w:val="20"/>
                <w:szCs w:val="20"/>
              </w:rPr>
              <w:t xml:space="preserve"> </w:t>
            </w:r>
          </w:p>
        </w:tc>
        <w:tc>
          <w:tcPr>
            <w:tcW w:w="1001"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49,363.5</w:t>
            </w:r>
          </w:p>
        </w:tc>
        <w:tc>
          <w:tcPr>
            <w:tcW w:w="1001"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53,442.6</w:t>
            </w:r>
          </w:p>
        </w:tc>
        <w:tc>
          <w:tcPr>
            <w:tcW w:w="1100"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58,238.5</w:t>
            </w:r>
          </w:p>
        </w:tc>
        <w:tc>
          <w:tcPr>
            <w:tcW w:w="1100"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63,284.9</w:t>
            </w:r>
          </w:p>
        </w:tc>
        <w:tc>
          <w:tcPr>
            <w:tcW w:w="1100"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68,573.0</w:t>
            </w:r>
          </w:p>
        </w:tc>
        <w:tc>
          <w:tcPr>
            <w:tcW w:w="1100"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p>
        </w:tc>
      </w:tr>
      <w:tr w:rsidR="00796390" w:rsidRPr="00DB24BD" w:rsidTr="005C202D">
        <w:trPr>
          <w:trHeight w:val="300"/>
        </w:trPr>
        <w:tc>
          <w:tcPr>
            <w:tcW w:w="4176" w:type="dxa"/>
            <w:shd w:val="clear" w:color="auto" w:fill="auto"/>
            <w:noWrap/>
            <w:vAlign w:val="center"/>
            <w:hideMark/>
          </w:tcPr>
          <w:p w:rsidR="00796390" w:rsidRPr="00DB24BD" w:rsidRDefault="00796390" w:rsidP="00796390">
            <w:pPr>
              <w:pStyle w:val="NoSpacing"/>
              <w:rPr>
                <w:rFonts w:eastAsia="Times New Roman" w:cstheme="minorHAnsi"/>
                <w:color w:val="000000"/>
                <w:sz w:val="20"/>
                <w:szCs w:val="20"/>
              </w:rPr>
            </w:pPr>
            <w:r w:rsidRPr="00DB24BD">
              <w:rPr>
                <w:rFonts w:eastAsia="Times New Roman" w:cstheme="minorHAnsi"/>
                <w:b/>
                <w:bCs/>
                <w:color w:val="000000"/>
                <w:sz w:val="20"/>
                <w:szCs w:val="20"/>
              </w:rPr>
              <w:t>Total change in Nominal GDP</w:t>
            </w:r>
          </w:p>
        </w:tc>
        <w:tc>
          <w:tcPr>
            <w:tcW w:w="1001"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49,266.7</w:t>
            </w:r>
          </w:p>
        </w:tc>
        <w:tc>
          <w:tcPr>
            <w:tcW w:w="1001"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58,528.9</w:t>
            </w:r>
          </w:p>
        </w:tc>
        <w:tc>
          <w:tcPr>
            <w:tcW w:w="1100"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64,832.4</w:t>
            </w:r>
          </w:p>
        </w:tc>
        <w:tc>
          <w:tcPr>
            <w:tcW w:w="1100"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70,450.2</w:t>
            </w:r>
          </w:p>
        </w:tc>
        <w:tc>
          <w:tcPr>
            <w:tcW w:w="1100"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76,337.0</w:t>
            </w:r>
          </w:p>
        </w:tc>
        <w:tc>
          <w:tcPr>
            <w:tcW w:w="1100" w:type="dxa"/>
            <w:shd w:val="clear" w:color="auto" w:fill="auto"/>
            <w:noWrap/>
            <w:vAlign w:val="center"/>
            <w:hideMark/>
          </w:tcPr>
          <w:p w:rsidR="00796390" w:rsidRPr="00DB24BD" w:rsidRDefault="00796390" w:rsidP="00796390">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82,715.7</w:t>
            </w:r>
          </w:p>
        </w:tc>
      </w:tr>
    </w:tbl>
    <w:p w:rsidR="00F61572" w:rsidRPr="00DB24BD" w:rsidRDefault="00F61572" w:rsidP="00F61572">
      <w:pPr>
        <w:pStyle w:val="NoSpacing"/>
        <w:spacing w:line="276" w:lineRule="auto"/>
        <w:jc w:val="both"/>
        <w:rPr>
          <w:rFonts w:cstheme="minorHAnsi"/>
          <w:sz w:val="24"/>
          <w:szCs w:val="24"/>
          <w:lang w:val="ka-GE"/>
        </w:rPr>
      </w:pP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F61572" w:rsidRPr="00DB24BD" w:rsidTr="00F61572">
        <w:trPr>
          <w:trHeight w:val="315"/>
          <w:tblHeader/>
        </w:trPr>
        <w:tc>
          <w:tcPr>
            <w:tcW w:w="4176" w:type="dxa"/>
            <w:shd w:val="clear" w:color="auto" w:fill="auto"/>
            <w:noWrap/>
            <w:vAlign w:val="bottom"/>
            <w:hideMark/>
          </w:tcPr>
          <w:p w:rsidR="00F61572" w:rsidRPr="00DB24BD" w:rsidRDefault="00796390" w:rsidP="00F61572">
            <w:pPr>
              <w:spacing w:after="0" w:line="240" w:lineRule="auto"/>
              <w:rPr>
                <w:rFonts w:eastAsia="Times New Roman" w:cstheme="minorHAnsi"/>
                <w:color w:val="000000"/>
                <w:sz w:val="20"/>
                <w:szCs w:val="20"/>
              </w:rPr>
            </w:pPr>
            <w:r w:rsidRPr="00DB24BD">
              <w:rPr>
                <w:rFonts w:eastAsia="Times New Roman" w:cstheme="minorHAnsi"/>
                <w:b/>
                <w:bCs/>
                <w:color w:val="000000"/>
                <w:sz w:val="20"/>
                <w:szCs w:val="20"/>
              </w:rPr>
              <w:lastRenderedPageBreak/>
              <w:t xml:space="preserve">Table 3. </w:t>
            </w:r>
            <w:r w:rsidR="00435031" w:rsidRPr="00DB24BD">
              <w:rPr>
                <w:rFonts w:eastAsia="Times New Roman" w:cstheme="minorHAnsi"/>
                <w:b/>
                <w:bCs/>
                <w:color w:val="000000"/>
                <w:sz w:val="20"/>
                <w:szCs w:val="20"/>
              </w:rPr>
              <w:t>General Government Budget</w:t>
            </w:r>
            <w:r w:rsidR="00435031" w:rsidRPr="00DB24BD">
              <w:rPr>
                <w:rFonts w:eastAsia="Times New Roman" w:cstheme="minorHAnsi"/>
                <w:color w:val="000000"/>
                <w:sz w:val="20"/>
                <w:szCs w:val="20"/>
              </w:rPr>
              <w:t xml:space="preserve"> </w:t>
            </w:r>
            <w:r w:rsidRPr="00DB24BD">
              <w:rPr>
                <w:rFonts w:eastAsia="Times New Roman" w:cstheme="minorHAnsi"/>
                <w:color w:val="000000"/>
                <w:sz w:val="20"/>
                <w:szCs w:val="20"/>
              </w:rPr>
              <w:t>(Million GEL)</w:t>
            </w:r>
          </w:p>
        </w:tc>
        <w:tc>
          <w:tcPr>
            <w:tcW w:w="1001"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2020</w:t>
            </w:r>
          </w:p>
        </w:tc>
        <w:tc>
          <w:tcPr>
            <w:tcW w:w="1001"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2021</w:t>
            </w:r>
          </w:p>
        </w:tc>
        <w:tc>
          <w:tcPr>
            <w:tcW w:w="110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2022</w:t>
            </w:r>
          </w:p>
        </w:tc>
        <w:tc>
          <w:tcPr>
            <w:tcW w:w="110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2023</w:t>
            </w:r>
          </w:p>
        </w:tc>
        <w:tc>
          <w:tcPr>
            <w:tcW w:w="110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2024</w:t>
            </w:r>
          </w:p>
        </w:tc>
        <w:tc>
          <w:tcPr>
            <w:tcW w:w="110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2025</w:t>
            </w:r>
          </w:p>
        </w:tc>
      </w:tr>
      <w:tr w:rsidR="005C202D" w:rsidRPr="00DB24BD" w:rsidTr="005C202D">
        <w:trPr>
          <w:trHeight w:val="315"/>
          <w:tblHeader/>
        </w:trPr>
        <w:tc>
          <w:tcPr>
            <w:tcW w:w="4176" w:type="dxa"/>
            <w:shd w:val="clear" w:color="auto" w:fill="auto"/>
            <w:noWrap/>
            <w:vAlign w:val="bottom"/>
            <w:hideMark/>
          </w:tcPr>
          <w:p w:rsidR="005C202D" w:rsidRPr="00DB24BD" w:rsidRDefault="005C202D" w:rsidP="005C202D">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1001" w:type="dxa"/>
            <w:shd w:val="clear" w:color="auto" w:fill="auto"/>
            <w:noWrap/>
            <w:vAlign w:val="center"/>
            <w:hideMark/>
          </w:tcPr>
          <w:p w:rsidR="005C202D" w:rsidRPr="00DB24BD" w:rsidRDefault="005C202D" w:rsidP="005C202D">
            <w:pPr>
              <w:pStyle w:val="NoSpacing"/>
              <w:jc w:val="center"/>
              <w:rPr>
                <w:rFonts w:eastAsia="Times New Roman" w:cstheme="minorHAnsi"/>
                <w:b/>
                <w:bCs/>
                <w:color w:val="000000"/>
                <w:sz w:val="20"/>
                <w:szCs w:val="20"/>
              </w:rPr>
            </w:pPr>
            <w:r w:rsidRPr="00DB24BD">
              <w:rPr>
                <w:rFonts w:eastAsia="Times New Roman" w:cstheme="minorHAnsi"/>
                <w:b/>
                <w:color w:val="000000"/>
                <w:sz w:val="20"/>
                <w:szCs w:val="20"/>
              </w:rPr>
              <w:t>Actual</w:t>
            </w:r>
          </w:p>
        </w:tc>
        <w:tc>
          <w:tcPr>
            <w:tcW w:w="1001" w:type="dxa"/>
            <w:shd w:val="clear" w:color="auto" w:fill="auto"/>
            <w:noWrap/>
            <w:vAlign w:val="center"/>
            <w:hideMark/>
          </w:tcPr>
          <w:p w:rsidR="005C202D" w:rsidRPr="00DB24BD" w:rsidRDefault="005C202D" w:rsidP="005C202D">
            <w:pPr>
              <w:pStyle w:val="NoSpacing"/>
              <w:jc w:val="center"/>
              <w:rPr>
                <w:rFonts w:eastAsia="Times New Roman" w:cstheme="minorHAnsi"/>
                <w:b/>
                <w:bCs/>
                <w:color w:val="000000"/>
                <w:sz w:val="20"/>
                <w:szCs w:val="20"/>
              </w:rPr>
            </w:pPr>
            <w:r w:rsidRPr="00DB24BD">
              <w:rPr>
                <w:rFonts w:eastAsia="Times New Roman" w:cstheme="minorHAnsi"/>
                <w:b/>
                <w:color w:val="000000"/>
                <w:sz w:val="20"/>
                <w:szCs w:val="20"/>
              </w:rPr>
              <w:t>Expected</w:t>
            </w:r>
          </w:p>
        </w:tc>
        <w:tc>
          <w:tcPr>
            <w:tcW w:w="1100" w:type="dxa"/>
            <w:shd w:val="clear" w:color="auto" w:fill="auto"/>
            <w:noWrap/>
            <w:vAlign w:val="center"/>
            <w:hideMark/>
          </w:tcPr>
          <w:p w:rsidR="005C202D" w:rsidRPr="00DB24BD" w:rsidRDefault="005C202D" w:rsidP="005C202D">
            <w:pPr>
              <w:pStyle w:val="NoSpacing"/>
              <w:jc w:val="center"/>
              <w:rPr>
                <w:rFonts w:eastAsia="Times New Roman" w:cstheme="minorHAnsi"/>
                <w:b/>
                <w:bCs/>
                <w:color w:val="000000"/>
                <w:sz w:val="20"/>
                <w:szCs w:val="20"/>
              </w:rPr>
            </w:pPr>
            <w:r w:rsidRPr="00DB24BD">
              <w:rPr>
                <w:rFonts w:eastAsia="Times New Roman" w:cstheme="minorHAnsi"/>
                <w:b/>
                <w:color w:val="000000"/>
                <w:sz w:val="20"/>
                <w:szCs w:val="20"/>
              </w:rPr>
              <w:t>Forecast</w:t>
            </w:r>
          </w:p>
        </w:tc>
        <w:tc>
          <w:tcPr>
            <w:tcW w:w="1100" w:type="dxa"/>
            <w:shd w:val="clear" w:color="auto" w:fill="auto"/>
            <w:noWrap/>
            <w:vAlign w:val="center"/>
            <w:hideMark/>
          </w:tcPr>
          <w:p w:rsidR="005C202D" w:rsidRPr="00DB24BD" w:rsidRDefault="005C202D" w:rsidP="005C202D">
            <w:pPr>
              <w:pStyle w:val="NoSpacing"/>
              <w:jc w:val="center"/>
              <w:rPr>
                <w:rFonts w:eastAsia="Times New Roman" w:cstheme="minorHAnsi"/>
                <w:b/>
                <w:bCs/>
                <w:color w:val="000000"/>
                <w:sz w:val="20"/>
                <w:szCs w:val="20"/>
              </w:rPr>
            </w:pPr>
            <w:r w:rsidRPr="00DB24BD">
              <w:rPr>
                <w:rFonts w:eastAsia="Times New Roman" w:cstheme="minorHAnsi"/>
                <w:b/>
                <w:color w:val="000000"/>
                <w:sz w:val="20"/>
                <w:szCs w:val="20"/>
              </w:rPr>
              <w:t>Forecast</w:t>
            </w:r>
          </w:p>
        </w:tc>
        <w:tc>
          <w:tcPr>
            <w:tcW w:w="1100" w:type="dxa"/>
            <w:shd w:val="clear" w:color="auto" w:fill="auto"/>
            <w:noWrap/>
            <w:vAlign w:val="center"/>
            <w:hideMark/>
          </w:tcPr>
          <w:p w:rsidR="005C202D" w:rsidRPr="00DB24BD" w:rsidRDefault="005C202D" w:rsidP="005C202D">
            <w:pPr>
              <w:pStyle w:val="NoSpacing"/>
              <w:jc w:val="center"/>
              <w:rPr>
                <w:rFonts w:eastAsia="Times New Roman" w:cstheme="minorHAnsi"/>
                <w:b/>
                <w:bCs/>
                <w:color w:val="000000"/>
                <w:sz w:val="20"/>
                <w:szCs w:val="20"/>
              </w:rPr>
            </w:pPr>
            <w:r w:rsidRPr="00DB24BD">
              <w:rPr>
                <w:rFonts w:eastAsia="Times New Roman" w:cstheme="minorHAnsi"/>
                <w:b/>
                <w:color w:val="000000"/>
                <w:sz w:val="20"/>
                <w:szCs w:val="20"/>
              </w:rPr>
              <w:t>Forecast</w:t>
            </w:r>
          </w:p>
        </w:tc>
        <w:tc>
          <w:tcPr>
            <w:tcW w:w="1100" w:type="dxa"/>
            <w:shd w:val="clear" w:color="auto" w:fill="auto"/>
            <w:noWrap/>
            <w:vAlign w:val="center"/>
            <w:hideMark/>
          </w:tcPr>
          <w:p w:rsidR="005C202D" w:rsidRPr="00DB24BD" w:rsidRDefault="005C202D" w:rsidP="005C202D">
            <w:pPr>
              <w:pStyle w:val="NoSpacing"/>
              <w:jc w:val="center"/>
              <w:rPr>
                <w:rFonts w:eastAsia="Times New Roman" w:cstheme="minorHAnsi"/>
                <w:b/>
                <w:bCs/>
                <w:color w:val="000000"/>
                <w:sz w:val="20"/>
                <w:szCs w:val="20"/>
              </w:rPr>
            </w:pPr>
            <w:r w:rsidRPr="00DB24BD">
              <w:rPr>
                <w:rFonts w:eastAsia="Times New Roman" w:cstheme="minorHAnsi"/>
                <w:b/>
                <w:color w:val="000000"/>
                <w:sz w:val="20"/>
                <w:szCs w:val="20"/>
              </w:rPr>
              <w:t>Forecast</w:t>
            </w:r>
          </w:p>
        </w:tc>
      </w:tr>
      <w:tr w:rsidR="00F61572" w:rsidRPr="00DB24BD" w:rsidTr="00F61572">
        <w:trPr>
          <w:trHeight w:val="315"/>
        </w:trPr>
        <w:tc>
          <w:tcPr>
            <w:tcW w:w="4176" w:type="dxa"/>
            <w:shd w:val="clear" w:color="auto" w:fill="auto"/>
            <w:noWrap/>
            <w:vAlign w:val="bottom"/>
            <w:hideMark/>
          </w:tcPr>
          <w:p w:rsidR="005C202D" w:rsidRPr="00DB24BD" w:rsidRDefault="005C202D" w:rsidP="005C202D">
            <w:pPr>
              <w:pStyle w:val="NoSpacing"/>
              <w:spacing w:after="160" w:line="259" w:lineRule="auto"/>
              <w:rPr>
                <w:rFonts w:eastAsia="Times New Roman" w:cstheme="minorHAnsi"/>
                <w:b/>
                <w:bCs/>
                <w:color w:val="000000"/>
                <w:sz w:val="20"/>
                <w:szCs w:val="20"/>
              </w:rPr>
            </w:pPr>
            <w:r w:rsidRPr="00DB24BD">
              <w:rPr>
                <w:rFonts w:eastAsia="Times New Roman" w:cstheme="minorHAnsi"/>
                <w:b/>
                <w:bCs/>
                <w:color w:val="000000"/>
                <w:sz w:val="20"/>
                <w:szCs w:val="20"/>
              </w:rPr>
              <w:t>Forecasts of Revenues December 2020</w:t>
            </w:r>
          </w:p>
        </w:tc>
        <w:tc>
          <w:tcPr>
            <w:tcW w:w="1001"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12,626.0</w:t>
            </w:r>
          </w:p>
        </w:tc>
        <w:tc>
          <w:tcPr>
            <w:tcW w:w="1001"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13,402.0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14,969.0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16,331.0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17,827.0</w:t>
            </w:r>
          </w:p>
        </w:tc>
        <w:tc>
          <w:tcPr>
            <w:tcW w:w="1100" w:type="dxa"/>
            <w:shd w:val="clear" w:color="auto" w:fill="auto"/>
            <w:noWrap/>
            <w:vAlign w:val="bottom"/>
            <w:hideMark/>
          </w:tcPr>
          <w:p w:rsidR="00F61572" w:rsidRPr="00DB24BD" w:rsidRDefault="00F61572" w:rsidP="00F61572">
            <w:pPr>
              <w:spacing w:after="0" w:line="240" w:lineRule="auto"/>
              <w:jc w:val="right"/>
              <w:rPr>
                <w:rFonts w:eastAsia="Times New Roman" w:cstheme="minorHAnsi"/>
                <w:bCs/>
                <w:color w:val="000000"/>
                <w:sz w:val="20"/>
                <w:szCs w:val="20"/>
              </w:rPr>
            </w:pPr>
          </w:p>
        </w:tc>
      </w:tr>
      <w:tr w:rsidR="00F61572" w:rsidRPr="00DB24BD" w:rsidTr="00F61572">
        <w:trPr>
          <w:trHeight w:val="300"/>
        </w:trPr>
        <w:tc>
          <w:tcPr>
            <w:tcW w:w="4176" w:type="dxa"/>
            <w:shd w:val="clear" w:color="auto" w:fill="auto"/>
            <w:noWrap/>
            <w:vAlign w:val="bottom"/>
            <w:hideMark/>
          </w:tcPr>
          <w:p w:rsidR="00F61572" w:rsidRPr="00DB24BD" w:rsidRDefault="005C202D" w:rsidP="00F61572">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Difference</w:t>
            </w:r>
          </w:p>
        </w:tc>
        <w:tc>
          <w:tcPr>
            <w:tcW w:w="1001"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-219.0</w:t>
            </w:r>
          </w:p>
        </w:tc>
        <w:tc>
          <w:tcPr>
            <w:tcW w:w="1001"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1,526.0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2,236.0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1,897.0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1,905.0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p>
        </w:tc>
      </w:tr>
      <w:tr w:rsidR="00F61572" w:rsidRPr="00DB24BD" w:rsidTr="00F61572">
        <w:trPr>
          <w:trHeight w:val="300"/>
        </w:trPr>
        <w:tc>
          <w:tcPr>
            <w:tcW w:w="4176" w:type="dxa"/>
            <w:shd w:val="clear" w:color="auto" w:fill="auto"/>
            <w:noWrap/>
            <w:vAlign w:val="bottom"/>
            <w:hideMark/>
          </w:tcPr>
          <w:p w:rsidR="00F61572" w:rsidRPr="00DB24BD" w:rsidRDefault="00AF7EC0" w:rsidP="00F61572">
            <w:pPr>
              <w:spacing w:after="0" w:line="240" w:lineRule="auto"/>
              <w:ind w:firstLineChars="100" w:firstLine="200"/>
              <w:rPr>
                <w:rFonts w:eastAsia="Times New Roman" w:cstheme="minorHAnsi"/>
                <w:color w:val="000000"/>
                <w:sz w:val="20"/>
                <w:szCs w:val="20"/>
              </w:rPr>
            </w:pPr>
            <w:r>
              <w:rPr>
                <w:rFonts w:eastAsia="Times New Roman" w:cstheme="minorHAnsi"/>
                <w:color w:val="000000"/>
                <w:sz w:val="20"/>
                <w:szCs w:val="20"/>
              </w:rPr>
              <w:t>including</w:t>
            </w:r>
            <w:r w:rsidR="005C202D" w:rsidRPr="00DB24BD">
              <w:rPr>
                <w:rFonts w:eastAsia="Times New Roman" w:cstheme="minorHAnsi"/>
                <w:color w:val="000000"/>
                <w:sz w:val="20"/>
                <w:szCs w:val="20"/>
              </w:rPr>
              <w:t xml:space="preserve"> Taxes</w:t>
            </w:r>
          </w:p>
        </w:tc>
        <w:tc>
          <w:tcPr>
            <w:tcW w:w="1001"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-85.6</w:t>
            </w:r>
          </w:p>
        </w:tc>
        <w:tc>
          <w:tcPr>
            <w:tcW w:w="1001"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1,226.0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2,098.0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1,948.0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r w:rsidRPr="00DB24BD">
              <w:rPr>
                <w:rFonts w:eastAsia="Times New Roman" w:cstheme="minorHAnsi"/>
                <w:bCs/>
                <w:color w:val="000000"/>
                <w:sz w:val="20"/>
                <w:szCs w:val="20"/>
              </w:rPr>
              <w:t>1,981.0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Cs/>
                <w:color w:val="000000"/>
                <w:sz w:val="20"/>
                <w:szCs w:val="20"/>
              </w:rPr>
            </w:pPr>
          </w:p>
        </w:tc>
      </w:tr>
      <w:tr w:rsidR="00F61572" w:rsidRPr="00DB24BD" w:rsidTr="00F61572">
        <w:trPr>
          <w:trHeight w:val="204"/>
        </w:trPr>
        <w:tc>
          <w:tcPr>
            <w:tcW w:w="4176" w:type="dxa"/>
            <w:shd w:val="clear" w:color="auto" w:fill="auto"/>
            <w:noWrap/>
            <w:vAlign w:val="bottom"/>
            <w:hideMark/>
          </w:tcPr>
          <w:p w:rsidR="00F61572" w:rsidRPr="00DB24BD" w:rsidRDefault="005C202D" w:rsidP="00F61572">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Updated Revenue Forecast</w:t>
            </w:r>
          </w:p>
        </w:tc>
        <w:tc>
          <w:tcPr>
            <w:tcW w:w="1001"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12,407.0</w:t>
            </w:r>
          </w:p>
        </w:tc>
        <w:tc>
          <w:tcPr>
            <w:tcW w:w="1001"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14,928.0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17,205.0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18,228.0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19,732.0</w:t>
            </w:r>
          </w:p>
        </w:tc>
        <w:tc>
          <w:tcPr>
            <w:tcW w:w="110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21,266.0</w:t>
            </w:r>
          </w:p>
        </w:tc>
      </w:tr>
      <w:tr w:rsidR="00F61572" w:rsidRPr="00DB24BD" w:rsidTr="00F61572">
        <w:trPr>
          <w:trHeight w:val="315"/>
        </w:trPr>
        <w:tc>
          <w:tcPr>
            <w:tcW w:w="4176" w:type="dxa"/>
            <w:shd w:val="clear" w:color="auto" w:fill="auto"/>
            <w:noWrap/>
            <w:vAlign w:val="bottom"/>
            <w:hideMark/>
          </w:tcPr>
          <w:p w:rsidR="00F61572" w:rsidRPr="00DB24BD" w:rsidRDefault="005C202D" w:rsidP="00F61572">
            <w:pPr>
              <w:spacing w:after="0" w:line="240" w:lineRule="auto"/>
              <w:rPr>
                <w:rFonts w:eastAsia="Times New Roman" w:cstheme="minorHAnsi"/>
                <w:b/>
                <w:bCs/>
                <w:color w:val="000000"/>
                <w:sz w:val="20"/>
                <w:szCs w:val="20"/>
                <w:lang w:val="ka-GE"/>
              </w:rPr>
            </w:pPr>
            <w:r w:rsidRPr="00DB24BD">
              <w:rPr>
                <w:rFonts w:eastAsia="Times New Roman" w:cstheme="minorHAnsi"/>
                <w:b/>
                <w:bCs/>
                <w:color w:val="000000"/>
                <w:sz w:val="20"/>
                <w:szCs w:val="20"/>
              </w:rPr>
              <w:t>Previous Forecast of Expenses and Acquisition of Non-financial Assets (2020 December)</w:t>
            </w:r>
          </w:p>
        </w:tc>
        <w:tc>
          <w:tcPr>
            <w:tcW w:w="1001"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16,976.0</w:t>
            </w:r>
          </w:p>
        </w:tc>
        <w:tc>
          <w:tcPr>
            <w:tcW w:w="1001"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17,643.0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17,618.0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18,394.0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19,723.0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p>
        </w:tc>
      </w:tr>
      <w:tr w:rsidR="00F61572" w:rsidRPr="00DB24BD" w:rsidTr="00F61572">
        <w:trPr>
          <w:trHeight w:val="147"/>
        </w:trPr>
        <w:tc>
          <w:tcPr>
            <w:tcW w:w="4176" w:type="dxa"/>
            <w:shd w:val="clear" w:color="auto" w:fill="auto"/>
            <w:noWrap/>
            <w:vAlign w:val="bottom"/>
            <w:hideMark/>
          </w:tcPr>
          <w:p w:rsidR="00F61572" w:rsidRPr="00DB24BD" w:rsidRDefault="005C202D" w:rsidP="00F61572">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Updated Forecast of Expenses and Acquisition of Non-financial Assets</w:t>
            </w:r>
          </w:p>
        </w:tc>
        <w:tc>
          <w:tcPr>
            <w:tcW w:w="1001"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17,189.1</w:t>
            </w:r>
          </w:p>
        </w:tc>
        <w:tc>
          <w:tcPr>
            <w:tcW w:w="1001"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19,376.0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20,432.0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20,437.0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21,911.0</w:t>
            </w:r>
          </w:p>
        </w:tc>
        <w:tc>
          <w:tcPr>
            <w:tcW w:w="110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23,445.0</w:t>
            </w:r>
          </w:p>
        </w:tc>
      </w:tr>
    </w:tbl>
    <w:p w:rsidR="00F61572" w:rsidRPr="00DB24BD" w:rsidRDefault="00F61572" w:rsidP="00F61572">
      <w:pPr>
        <w:spacing w:after="0" w:line="276" w:lineRule="auto"/>
        <w:ind w:firstLine="567"/>
        <w:jc w:val="both"/>
        <w:rPr>
          <w:rFonts w:cstheme="minorHAnsi"/>
          <w:sz w:val="24"/>
          <w:szCs w:val="24"/>
          <w:lang w:val="ka-GE"/>
        </w:rPr>
      </w:pPr>
    </w:p>
    <w:p w:rsidR="00F61572" w:rsidRPr="00DB24BD" w:rsidRDefault="002F564D" w:rsidP="00F61572">
      <w:pPr>
        <w:spacing w:after="0" w:line="276" w:lineRule="auto"/>
        <w:ind w:firstLine="567"/>
        <w:jc w:val="both"/>
        <w:rPr>
          <w:rFonts w:cstheme="minorHAnsi"/>
          <w:sz w:val="24"/>
          <w:szCs w:val="24"/>
          <w:lang w:val="ka-GE"/>
        </w:rPr>
      </w:pPr>
      <w:r w:rsidRPr="00DB24BD">
        <w:rPr>
          <w:rFonts w:cstheme="minorHAnsi"/>
          <w:sz w:val="24"/>
          <w:szCs w:val="24"/>
        </w:rPr>
        <w:t xml:space="preserve">Changes in the consolidated budget figures are disclosed in table </w:t>
      </w:r>
      <w:r w:rsidR="00F61572" w:rsidRPr="00DB24BD">
        <w:rPr>
          <w:rFonts w:eastAsia="Times New Roman" w:cstheme="minorHAnsi"/>
          <w:bCs/>
          <w:color w:val="000000"/>
          <w:sz w:val="24"/>
          <w:szCs w:val="24"/>
        </w:rPr>
        <w:t>№</w:t>
      </w:r>
      <w:r w:rsidRPr="00DB24BD">
        <w:rPr>
          <w:rFonts w:cstheme="minorHAnsi"/>
          <w:sz w:val="24"/>
          <w:szCs w:val="24"/>
          <w:lang w:val="ka-GE"/>
        </w:rPr>
        <w:t>3</w:t>
      </w:r>
      <w:r w:rsidR="00F61572" w:rsidRPr="00DB24BD">
        <w:rPr>
          <w:rFonts w:cstheme="minorHAnsi"/>
          <w:sz w:val="24"/>
          <w:szCs w:val="24"/>
          <w:lang w:val="ka-GE"/>
        </w:rPr>
        <w:t xml:space="preserve">. </w:t>
      </w:r>
      <w:r w:rsidRPr="00DB24BD">
        <w:rPr>
          <w:rFonts w:cstheme="minorHAnsi"/>
          <w:sz w:val="24"/>
          <w:szCs w:val="24"/>
        </w:rPr>
        <w:t xml:space="preserve">Revenue forecasts are adjusted upwards a result of higher tax revenue flows. Tax revenues of course are influence by updated GDP and inflation parameters. </w:t>
      </w:r>
    </w:p>
    <w:p w:rsidR="00F61572" w:rsidRPr="00DB24BD" w:rsidRDefault="002F564D" w:rsidP="00F61572">
      <w:pPr>
        <w:spacing w:after="0" w:line="276" w:lineRule="auto"/>
        <w:ind w:firstLine="567"/>
        <w:jc w:val="both"/>
        <w:rPr>
          <w:rFonts w:cstheme="minorHAnsi"/>
          <w:sz w:val="24"/>
          <w:szCs w:val="24"/>
          <w:lang w:val="ka-GE"/>
        </w:rPr>
      </w:pPr>
      <w:r w:rsidRPr="00DB24BD">
        <w:rPr>
          <w:rFonts w:cstheme="minorHAnsi"/>
          <w:sz w:val="24"/>
          <w:szCs w:val="24"/>
        </w:rPr>
        <w:t xml:space="preserve">It should also be taken into account that tax revenue estimates in 2020-2021 include the effect of tax reliefs introduced as part of anti-COVID-19-crisis support package. Overall this relief amounted to GEL 270 million in 2021. </w:t>
      </w:r>
    </w:p>
    <w:p w:rsidR="00F61572" w:rsidRPr="00DB24BD" w:rsidRDefault="002F564D" w:rsidP="00F61572">
      <w:pPr>
        <w:spacing w:after="0" w:line="276" w:lineRule="auto"/>
        <w:ind w:firstLine="567"/>
        <w:jc w:val="both"/>
        <w:rPr>
          <w:rFonts w:cstheme="minorHAnsi"/>
          <w:sz w:val="24"/>
          <w:szCs w:val="24"/>
          <w:lang w:val="ka-GE"/>
        </w:rPr>
      </w:pPr>
      <w:r w:rsidRPr="00DB24BD">
        <w:rPr>
          <w:rFonts w:cstheme="minorHAnsi"/>
          <w:sz w:val="24"/>
          <w:szCs w:val="24"/>
        </w:rPr>
        <w:t>Current and Capital spending are also increased in the projections, influenced by increased Healthcare spending, anti-crisis business and citizen support schemes and large infrastructureal projects’ needs.</w:t>
      </w:r>
      <w:r w:rsidR="00F61572" w:rsidRPr="00DB24BD">
        <w:rPr>
          <w:rFonts w:cstheme="minorHAnsi"/>
          <w:sz w:val="24"/>
          <w:szCs w:val="24"/>
          <w:lang w:val="ka-GE"/>
        </w:rPr>
        <w:t xml:space="preserve"> </w:t>
      </w:r>
    </w:p>
    <w:p w:rsidR="00F61572" w:rsidRPr="00DB24BD" w:rsidDel="00166AB5" w:rsidRDefault="002F564D" w:rsidP="00F61572">
      <w:pPr>
        <w:spacing w:before="240" w:after="0" w:line="276" w:lineRule="auto"/>
        <w:jc w:val="both"/>
        <w:rPr>
          <w:rFonts w:cstheme="minorHAnsi"/>
          <w:sz w:val="24"/>
          <w:szCs w:val="24"/>
          <w:lang w:val="ka-GE"/>
        </w:rPr>
      </w:pPr>
      <w:r w:rsidRPr="00DB24BD">
        <w:rPr>
          <w:rFonts w:eastAsia="Times New Roman" w:cstheme="minorHAnsi"/>
          <w:b/>
          <w:bCs/>
          <w:color w:val="000000"/>
          <w:sz w:val="24"/>
          <w:szCs w:val="24"/>
        </w:rPr>
        <w:t>Table</w:t>
      </w:r>
      <w:r w:rsidR="00F61572" w:rsidRPr="00DB24BD">
        <w:rPr>
          <w:rFonts w:eastAsia="Times New Roman" w:cstheme="minorHAnsi"/>
          <w:b/>
          <w:bCs/>
          <w:color w:val="000000"/>
          <w:sz w:val="24"/>
          <w:szCs w:val="24"/>
          <w:lang w:val="ka-GE"/>
        </w:rPr>
        <w:t xml:space="preserve"> </w:t>
      </w:r>
      <w:r w:rsidR="00F61572" w:rsidRPr="00DB24BD">
        <w:rPr>
          <w:rFonts w:cstheme="minorHAnsi"/>
          <w:b/>
          <w:sz w:val="24"/>
          <w:szCs w:val="24"/>
          <w:lang w:val="ka-GE"/>
        </w:rPr>
        <w:t>№</w:t>
      </w:r>
      <w:r w:rsidR="00F61572" w:rsidRPr="00DB24BD">
        <w:rPr>
          <w:rFonts w:eastAsia="Times New Roman" w:cstheme="minorHAnsi"/>
          <w:b/>
          <w:bCs/>
          <w:color w:val="000000"/>
          <w:sz w:val="24"/>
          <w:szCs w:val="24"/>
        </w:rPr>
        <w:t>4</w:t>
      </w:r>
      <w:r w:rsidR="00F61572" w:rsidRPr="00DB24BD">
        <w:rPr>
          <w:rFonts w:eastAsia="Times New Roman" w:cstheme="minorHAnsi"/>
          <w:b/>
          <w:bCs/>
          <w:color w:val="000000"/>
          <w:sz w:val="24"/>
          <w:szCs w:val="24"/>
          <w:lang w:val="ka-GE"/>
        </w:rPr>
        <w:t xml:space="preserve"> </w:t>
      </w:r>
      <w:r w:rsidRPr="00DB24BD">
        <w:rPr>
          <w:rFonts w:eastAsia="Times New Roman" w:cstheme="minorHAnsi"/>
          <w:b/>
          <w:bCs/>
          <w:color w:val="000000"/>
          <w:sz w:val="24"/>
          <w:szCs w:val="24"/>
        </w:rPr>
        <w:t>Balance of Payment</w:t>
      </w:r>
    </w:p>
    <w:tbl>
      <w:tblPr>
        <w:tblW w:w="1008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20"/>
        <w:gridCol w:w="960"/>
        <w:gridCol w:w="975"/>
        <w:gridCol w:w="960"/>
        <w:gridCol w:w="960"/>
        <w:gridCol w:w="960"/>
        <w:gridCol w:w="960"/>
      </w:tblGrid>
      <w:tr w:rsidR="00F61572" w:rsidRPr="00DB24BD" w:rsidTr="00F61572">
        <w:trPr>
          <w:trHeight w:val="113"/>
        </w:trPr>
        <w:tc>
          <w:tcPr>
            <w:tcW w:w="4320" w:type="dxa"/>
            <w:shd w:val="clear" w:color="auto" w:fill="auto"/>
            <w:noWrap/>
            <w:vAlign w:val="bottom"/>
            <w:hideMark/>
          </w:tcPr>
          <w:p w:rsidR="00F61572" w:rsidRPr="00DB24BD" w:rsidRDefault="002F564D" w:rsidP="00F61572">
            <w:pPr>
              <w:spacing w:after="0" w:line="240" w:lineRule="auto"/>
              <w:rPr>
                <w:rFonts w:eastAsia="Times New Roman" w:cstheme="minorHAnsi"/>
                <w:b/>
                <w:bCs/>
                <w:color w:val="000000"/>
                <w:sz w:val="20"/>
                <w:szCs w:val="20"/>
              </w:rPr>
            </w:pPr>
            <w:r w:rsidRPr="00DB24BD">
              <w:rPr>
                <w:rFonts w:eastAsia="Times New Roman" w:cstheme="minorHAnsi"/>
                <w:color w:val="000000"/>
                <w:sz w:val="20"/>
                <w:szCs w:val="20"/>
              </w:rPr>
              <w:t>Current Account</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2020</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2021</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2022</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2023</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2024</w:t>
            </w:r>
          </w:p>
        </w:tc>
        <w:tc>
          <w:tcPr>
            <w:tcW w:w="960" w:type="dxa"/>
            <w:shd w:val="clear" w:color="auto" w:fill="auto"/>
            <w:noWrap/>
            <w:vAlign w:val="bottom"/>
            <w:hideMark/>
          </w:tcPr>
          <w:p w:rsidR="00F61572" w:rsidRPr="00DB24BD" w:rsidRDefault="00F61572" w:rsidP="00F61572">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2025</w:t>
            </w:r>
          </w:p>
        </w:tc>
      </w:tr>
      <w:tr w:rsidR="001C6335" w:rsidRPr="00DB24BD" w:rsidTr="00E45A2E">
        <w:trPr>
          <w:trHeight w:val="113"/>
        </w:trPr>
        <w:tc>
          <w:tcPr>
            <w:tcW w:w="4320" w:type="dxa"/>
            <w:shd w:val="clear" w:color="auto" w:fill="auto"/>
            <w:noWrap/>
            <w:vAlign w:val="bottom"/>
            <w:hideMark/>
          </w:tcPr>
          <w:p w:rsidR="001C6335" w:rsidRPr="00DB24BD" w:rsidRDefault="001C6335" w:rsidP="001C6335">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(Million US Dollar)</w:t>
            </w:r>
          </w:p>
        </w:tc>
        <w:tc>
          <w:tcPr>
            <w:tcW w:w="960" w:type="dxa"/>
            <w:shd w:val="clear" w:color="auto" w:fill="auto"/>
            <w:noWrap/>
            <w:vAlign w:val="center"/>
            <w:hideMark/>
          </w:tcPr>
          <w:p w:rsidR="001C6335" w:rsidRPr="00DB24BD" w:rsidRDefault="001C6335" w:rsidP="001C6335">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Actual</w:t>
            </w:r>
          </w:p>
        </w:tc>
        <w:tc>
          <w:tcPr>
            <w:tcW w:w="960" w:type="dxa"/>
            <w:shd w:val="clear" w:color="auto" w:fill="auto"/>
            <w:noWrap/>
            <w:vAlign w:val="center"/>
            <w:hideMark/>
          </w:tcPr>
          <w:p w:rsidR="001C6335" w:rsidRPr="00DB24BD" w:rsidRDefault="001C6335" w:rsidP="001C6335">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Expected</w:t>
            </w:r>
          </w:p>
        </w:tc>
        <w:tc>
          <w:tcPr>
            <w:tcW w:w="960" w:type="dxa"/>
            <w:shd w:val="clear" w:color="auto" w:fill="auto"/>
            <w:noWrap/>
            <w:vAlign w:val="center"/>
            <w:hideMark/>
          </w:tcPr>
          <w:p w:rsidR="001C6335" w:rsidRPr="00DB24BD" w:rsidRDefault="001C6335" w:rsidP="001C6335">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Forecast</w:t>
            </w:r>
          </w:p>
        </w:tc>
        <w:tc>
          <w:tcPr>
            <w:tcW w:w="960" w:type="dxa"/>
            <w:shd w:val="clear" w:color="auto" w:fill="auto"/>
            <w:noWrap/>
            <w:vAlign w:val="center"/>
            <w:hideMark/>
          </w:tcPr>
          <w:p w:rsidR="001C6335" w:rsidRPr="00DB24BD" w:rsidRDefault="001C6335" w:rsidP="001C6335">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Forecast</w:t>
            </w:r>
          </w:p>
        </w:tc>
        <w:tc>
          <w:tcPr>
            <w:tcW w:w="960" w:type="dxa"/>
            <w:shd w:val="clear" w:color="auto" w:fill="auto"/>
            <w:noWrap/>
            <w:vAlign w:val="center"/>
            <w:hideMark/>
          </w:tcPr>
          <w:p w:rsidR="001C6335" w:rsidRPr="00DB24BD" w:rsidRDefault="001C6335" w:rsidP="001C6335">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Forecast</w:t>
            </w:r>
          </w:p>
        </w:tc>
        <w:tc>
          <w:tcPr>
            <w:tcW w:w="960" w:type="dxa"/>
            <w:shd w:val="clear" w:color="auto" w:fill="auto"/>
            <w:noWrap/>
            <w:vAlign w:val="center"/>
            <w:hideMark/>
          </w:tcPr>
          <w:p w:rsidR="001C6335" w:rsidRPr="00DB24BD" w:rsidRDefault="001C6335" w:rsidP="001C6335">
            <w:pPr>
              <w:spacing w:after="0" w:line="240" w:lineRule="auto"/>
              <w:jc w:val="center"/>
              <w:rPr>
                <w:rFonts w:eastAsia="Times New Roman" w:cstheme="minorHAnsi"/>
                <w:b/>
                <w:color w:val="000000"/>
                <w:sz w:val="20"/>
                <w:szCs w:val="20"/>
              </w:rPr>
            </w:pPr>
            <w:r w:rsidRPr="00DB24BD">
              <w:rPr>
                <w:rFonts w:eastAsia="Times New Roman" w:cstheme="minorHAnsi"/>
                <w:b/>
                <w:color w:val="000000"/>
                <w:sz w:val="20"/>
                <w:szCs w:val="20"/>
              </w:rPr>
              <w:t>Forecast</w:t>
            </w:r>
          </w:p>
        </w:tc>
      </w:tr>
      <w:tr w:rsidR="00F61572" w:rsidRPr="00DB24BD" w:rsidTr="00F61572">
        <w:trPr>
          <w:trHeight w:val="113"/>
        </w:trPr>
        <w:tc>
          <w:tcPr>
            <w:tcW w:w="4320" w:type="dxa"/>
            <w:shd w:val="clear" w:color="auto" w:fill="auto"/>
            <w:noWrap/>
            <w:vAlign w:val="bottom"/>
            <w:hideMark/>
          </w:tcPr>
          <w:p w:rsidR="00F61572" w:rsidRPr="00DB24BD" w:rsidRDefault="002F564D" w:rsidP="00F61572">
            <w:pPr>
              <w:spacing w:after="0" w:line="240" w:lineRule="auto"/>
              <w:rPr>
                <w:rFonts w:eastAsia="Times New Roman" w:cstheme="minorHAnsi"/>
                <w:b/>
                <w:bCs/>
                <w:color w:val="000000"/>
                <w:sz w:val="20"/>
                <w:szCs w:val="20"/>
                <w:lang w:val="ka-GE"/>
              </w:rPr>
            </w:pPr>
            <w:r w:rsidRPr="00DB24BD">
              <w:rPr>
                <w:rFonts w:eastAsia="Times New Roman" w:cstheme="minorHAnsi"/>
                <w:b/>
                <w:bCs/>
                <w:color w:val="000000"/>
                <w:sz w:val="20"/>
                <w:szCs w:val="20"/>
              </w:rPr>
              <w:t>Forecast of Current Account December (2020 Decemeber)</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-1,542.0</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-1,379.9</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-1,112.0</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-1,174.3</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-1,190.5</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p>
        </w:tc>
      </w:tr>
      <w:tr w:rsidR="00F61572" w:rsidRPr="00DB24BD" w:rsidTr="00F61572">
        <w:trPr>
          <w:trHeight w:val="113"/>
        </w:trPr>
        <w:tc>
          <w:tcPr>
            <w:tcW w:w="4320" w:type="dxa"/>
            <w:shd w:val="clear" w:color="auto" w:fill="auto"/>
            <w:noWrap/>
            <w:vAlign w:val="bottom"/>
            <w:hideMark/>
          </w:tcPr>
          <w:p w:rsidR="00F61572" w:rsidRPr="00DB24BD" w:rsidRDefault="002F564D" w:rsidP="00F61572">
            <w:pPr>
              <w:spacing w:after="0" w:line="240" w:lineRule="auto"/>
              <w:rPr>
                <w:rFonts w:eastAsia="Times New Roman" w:cstheme="minorHAnsi"/>
                <w:b/>
                <w:bCs/>
                <w:color w:val="000000"/>
                <w:sz w:val="20"/>
                <w:szCs w:val="20"/>
              </w:rPr>
            </w:pPr>
            <w:r w:rsidRPr="00DB24BD">
              <w:rPr>
                <w:rFonts w:eastAsia="Times New Roman" w:cstheme="minorHAnsi"/>
                <w:b/>
                <w:color w:val="000000"/>
                <w:sz w:val="20"/>
                <w:szCs w:val="20"/>
              </w:rPr>
              <w:t>Total Changes</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-423.0</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-149.0</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-468.0</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-326.5</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-330.1</w:t>
            </w:r>
          </w:p>
        </w:tc>
        <w:tc>
          <w:tcPr>
            <w:tcW w:w="960" w:type="dxa"/>
            <w:shd w:val="clear" w:color="auto" w:fill="auto"/>
            <w:noWrap/>
            <w:vAlign w:val="center"/>
            <w:hideMark/>
          </w:tcPr>
          <w:p w:rsidR="00F61572" w:rsidRPr="00DB24BD" w:rsidRDefault="00F61572" w:rsidP="00F61572">
            <w:pPr>
              <w:spacing w:after="0" w:line="240" w:lineRule="auto"/>
              <w:jc w:val="right"/>
              <w:rPr>
                <w:rFonts w:eastAsia="Times New Roman" w:cstheme="minorHAnsi"/>
                <w:b/>
                <w:color w:val="000000"/>
                <w:sz w:val="20"/>
                <w:szCs w:val="20"/>
              </w:rPr>
            </w:pPr>
          </w:p>
        </w:tc>
      </w:tr>
      <w:tr w:rsidR="00F61572" w:rsidRPr="00DB24BD" w:rsidTr="00F61572">
        <w:trPr>
          <w:trHeight w:val="113"/>
        </w:trPr>
        <w:tc>
          <w:tcPr>
            <w:tcW w:w="4320" w:type="dxa"/>
            <w:shd w:val="clear" w:color="auto" w:fill="auto"/>
            <w:noWrap/>
            <w:vAlign w:val="bottom"/>
            <w:hideMark/>
          </w:tcPr>
          <w:p w:rsidR="00F61572" w:rsidRPr="00DB24BD" w:rsidRDefault="002F564D" w:rsidP="002F564D">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Net Export</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-971.5</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-959.1</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-882.4</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-124.9</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135.1</w:t>
            </w:r>
          </w:p>
        </w:tc>
        <w:tc>
          <w:tcPr>
            <w:tcW w:w="960" w:type="dxa"/>
            <w:shd w:val="clear" w:color="auto" w:fill="auto"/>
            <w:noWrap/>
          </w:tcPr>
          <w:p w:rsidR="00F61572" w:rsidRPr="00DB24BD" w:rsidRDefault="00F61572" w:rsidP="00F61572">
            <w:pPr>
              <w:spacing w:after="0" w:line="240" w:lineRule="auto"/>
              <w:jc w:val="right"/>
              <w:rPr>
                <w:rFonts w:eastAsia="Times New Roman" w:cstheme="minorHAnsi"/>
                <w:color w:val="000000"/>
                <w:sz w:val="20"/>
                <w:szCs w:val="20"/>
              </w:rPr>
            </w:pPr>
          </w:p>
        </w:tc>
      </w:tr>
      <w:tr w:rsidR="00F61572" w:rsidRPr="00DB24BD" w:rsidTr="00F61572">
        <w:trPr>
          <w:trHeight w:val="113"/>
        </w:trPr>
        <w:tc>
          <w:tcPr>
            <w:tcW w:w="4320" w:type="dxa"/>
            <w:shd w:val="clear" w:color="auto" w:fill="auto"/>
            <w:noWrap/>
            <w:vAlign w:val="bottom"/>
            <w:hideMark/>
          </w:tcPr>
          <w:p w:rsidR="00F61572" w:rsidRPr="00DB24BD" w:rsidRDefault="002F564D" w:rsidP="00F61572">
            <w:pPr>
              <w:spacing w:after="0" w:line="240" w:lineRule="auto"/>
              <w:ind w:firstLineChars="100" w:firstLine="200"/>
              <w:rPr>
                <w:rFonts w:eastAsia="Times New Roman" w:cstheme="minorHAnsi"/>
                <w:color w:val="000000"/>
                <w:sz w:val="20"/>
                <w:szCs w:val="20"/>
              </w:rPr>
            </w:pPr>
            <w:r w:rsidRPr="00DB24BD">
              <w:rPr>
                <w:rFonts w:eastAsia="Times New Roman" w:cstheme="minorHAnsi"/>
                <w:color w:val="000000"/>
                <w:sz w:val="20"/>
                <w:szCs w:val="20"/>
              </w:rPr>
              <w:t>Primary Income</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-27.8</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-104.4</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-347.0</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-677.2</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-1,000.7</w:t>
            </w:r>
          </w:p>
        </w:tc>
        <w:tc>
          <w:tcPr>
            <w:tcW w:w="960" w:type="dxa"/>
            <w:shd w:val="clear" w:color="auto" w:fill="auto"/>
            <w:noWrap/>
          </w:tcPr>
          <w:p w:rsidR="00F61572" w:rsidRPr="00DB24BD" w:rsidRDefault="00F61572" w:rsidP="00F61572">
            <w:pPr>
              <w:spacing w:after="0" w:line="240" w:lineRule="auto"/>
              <w:jc w:val="right"/>
              <w:rPr>
                <w:rFonts w:eastAsia="Times New Roman" w:cstheme="minorHAnsi"/>
                <w:color w:val="000000"/>
                <w:sz w:val="20"/>
                <w:szCs w:val="20"/>
              </w:rPr>
            </w:pPr>
          </w:p>
        </w:tc>
      </w:tr>
      <w:tr w:rsidR="00F61572" w:rsidRPr="00DB24BD" w:rsidTr="00F61572">
        <w:trPr>
          <w:trHeight w:val="113"/>
        </w:trPr>
        <w:tc>
          <w:tcPr>
            <w:tcW w:w="4320" w:type="dxa"/>
            <w:shd w:val="clear" w:color="auto" w:fill="auto"/>
            <w:noWrap/>
            <w:vAlign w:val="bottom"/>
            <w:hideMark/>
          </w:tcPr>
          <w:p w:rsidR="00F61572" w:rsidRPr="00DB24BD" w:rsidRDefault="002F564D" w:rsidP="00F61572">
            <w:pPr>
              <w:spacing w:after="0" w:line="240" w:lineRule="auto"/>
              <w:ind w:firstLineChars="100" w:firstLine="200"/>
              <w:rPr>
                <w:rFonts w:eastAsia="Times New Roman" w:cstheme="minorHAnsi"/>
                <w:color w:val="000000"/>
                <w:sz w:val="20"/>
                <w:szCs w:val="20"/>
              </w:rPr>
            </w:pPr>
            <w:r w:rsidRPr="00DB24BD">
              <w:rPr>
                <w:rFonts w:eastAsia="Times New Roman" w:cstheme="minorHAnsi"/>
                <w:bCs/>
                <w:color w:val="000000"/>
                <w:sz w:val="20"/>
                <w:szCs w:val="20"/>
              </w:rPr>
              <w:t>Secondary Income (Transfers)</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576.3</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914.4</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761.3</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475.7</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color w:val="000000"/>
                <w:sz w:val="20"/>
                <w:szCs w:val="20"/>
              </w:rPr>
            </w:pPr>
            <w:r w:rsidRPr="00DB24BD">
              <w:rPr>
                <w:rFonts w:eastAsia="Times New Roman" w:cstheme="minorHAnsi"/>
                <w:color w:val="000000"/>
                <w:sz w:val="20"/>
                <w:szCs w:val="20"/>
              </w:rPr>
              <w:t>535.5</w:t>
            </w:r>
          </w:p>
        </w:tc>
        <w:tc>
          <w:tcPr>
            <w:tcW w:w="960" w:type="dxa"/>
            <w:shd w:val="clear" w:color="auto" w:fill="auto"/>
            <w:noWrap/>
          </w:tcPr>
          <w:p w:rsidR="00F61572" w:rsidRPr="00DB24BD" w:rsidRDefault="00F61572" w:rsidP="00F61572">
            <w:pPr>
              <w:spacing w:after="0" w:line="240" w:lineRule="auto"/>
              <w:jc w:val="right"/>
              <w:rPr>
                <w:rFonts w:eastAsia="Times New Roman" w:cstheme="minorHAnsi"/>
                <w:color w:val="000000"/>
                <w:sz w:val="20"/>
                <w:szCs w:val="20"/>
              </w:rPr>
            </w:pPr>
          </w:p>
        </w:tc>
      </w:tr>
      <w:tr w:rsidR="00F61572" w:rsidRPr="00DB24BD" w:rsidTr="00F61572">
        <w:trPr>
          <w:trHeight w:val="113"/>
        </w:trPr>
        <w:tc>
          <w:tcPr>
            <w:tcW w:w="4320" w:type="dxa"/>
            <w:shd w:val="clear" w:color="auto" w:fill="auto"/>
            <w:noWrap/>
            <w:vAlign w:val="bottom"/>
            <w:hideMark/>
          </w:tcPr>
          <w:p w:rsidR="00F61572" w:rsidRPr="00DB24BD" w:rsidRDefault="002F564D" w:rsidP="00F61572">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Forecast of Current Account November - updated</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-1,965.0</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-1,529.0</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-1,580.0</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-1,500.8</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-1,520.7</w:t>
            </w:r>
          </w:p>
        </w:tc>
        <w:tc>
          <w:tcPr>
            <w:tcW w:w="960" w:type="dxa"/>
            <w:shd w:val="clear" w:color="auto" w:fill="auto"/>
            <w:noWrap/>
            <w:hideMark/>
          </w:tcPr>
          <w:p w:rsidR="00F61572" w:rsidRPr="00DB24BD" w:rsidRDefault="00F61572" w:rsidP="00F61572">
            <w:pPr>
              <w:spacing w:after="0" w:line="240" w:lineRule="auto"/>
              <w:jc w:val="right"/>
              <w:rPr>
                <w:rFonts w:eastAsia="Times New Roman" w:cstheme="minorHAnsi"/>
                <w:b/>
                <w:color w:val="000000"/>
                <w:sz w:val="20"/>
                <w:szCs w:val="20"/>
              </w:rPr>
            </w:pPr>
            <w:r w:rsidRPr="00DB24BD">
              <w:rPr>
                <w:rFonts w:eastAsia="Times New Roman" w:cstheme="minorHAnsi"/>
                <w:b/>
                <w:color w:val="000000"/>
                <w:sz w:val="20"/>
                <w:szCs w:val="20"/>
              </w:rPr>
              <w:t>-1,351.5</w:t>
            </w:r>
          </w:p>
        </w:tc>
      </w:tr>
    </w:tbl>
    <w:p w:rsidR="00F61572" w:rsidRPr="00DB24BD" w:rsidRDefault="002F564D" w:rsidP="00F61572">
      <w:pPr>
        <w:spacing w:before="240" w:after="0" w:line="276" w:lineRule="auto"/>
        <w:ind w:firstLine="567"/>
        <w:jc w:val="both"/>
        <w:rPr>
          <w:rFonts w:cstheme="minorHAnsi"/>
          <w:sz w:val="24"/>
          <w:szCs w:val="24"/>
          <w:lang w:val="ka-GE"/>
        </w:rPr>
      </w:pPr>
      <w:r w:rsidRPr="00DB24BD">
        <w:rPr>
          <w:rFonts w:cstheme="minorHAnsi"/>
          <w:sz w:val="24"/>
          <w:szCs w:val="24"/>
        </w:rPr>
        <w:t xml:space="preserve">As for BoP, forecasts are deteriorated, which is influenced by higher than expected domestic demand increase. Domestic demands increase imports. In the medium term we anticipate increased secondary income, based on recent trends of transfers. </w:t>
      </w:r>
    </w:p>
    <w:p w:rsidR="00F61572" w:rsidRPr="00DB24BD" w:rsidRDefault="002F564D" w:rsidP="00705C58">
      <w:pPr>
        <w:pStyle w:val="NoSpacing"/>
        <w:spacing w:line="276" w:lineRule="auto"/>
        <w:ind w:firstLine="567"/>
        <w:jc w:val="both"/>
        <w:rPr>
          <w:rFonts w:cstheme="minorHAnsi"/>
          <w:sz w:val="24"/>
          <w:szCs w:val="24"/>
          <w:lang w:val="ka-GE"/>
        </w:rPr>
      </w:pPr>
      <w:r w:rsidRPr="00DB24BD">
        <w:rPr>
          <w:rFonts w:cstheme="minorHAnsi"/>
          <w:sz w:val="24"/>
          <w:szCs w:val="24"/>
        </w:rPr>
        <w:t>Factor income projections are decreased</w:t>
      </w:r>
      <w:r w:rsidR="00705C58" w:rsidRPr="00DB24BD">
        <w:rPr>
          <w:rFonts w:cstheme="minorHAnsi"/>
          <w:sz w:val="24"/>
          <w:szCs w:val="24"/>
        </w:rPr>
        <w:t>, influenced by increased debt levels in the economy, with operational as well as exchange rate effects. Higher debt will cause more interest payments during the coming years.</w:t>
      </w:r>
      <w:r w:rsidR="00F61572" w:rsidRPr="00DB24BD">
        <w:rPr>
          <w:rFonts w:cstheme="minorHAnsi"/>
          <w:sz w:val="24"/>
          <w:szCs w:val="24"/>
          <w:lang w:val="ka-GE"/>
        </w:rPr>
        <w:br w:type="page"/>
      </w:r>
    </w:p>
    <w:p w:rsidR="00705C58" w:rsidRPr="00DB24BD" w:rsidRDefault="00705C58" w:rsidP="00705C58">
      <w:pPr>
        <w:pStyle w:val="Heading1"/>
        <w:numPr>
          <w:ilvl w:val="0"/>
          <w:numId w:val="11"/>
        </w:numPr>
        <w:tabs>
          <w:tab w:val="left" w:pos="4950"/>
        </w:tabs>
        <w:spacing w:line="256" w:lineRule="auto"/>
        <w:rPr>
          <w:rFonts w:asciiTheme="minorHAnsi" w:hAnsiTheme="minorHAnsi" w:cstheme="minorHAnsi"/>
          <w:b/>
          <w:sz w:val="24"/>
          <w:szCs w:val="24"/>
        </w:rPr>
      </w:pPr>
      <w:bookmarkStart w:id="5" w:name="_Toc58952844"/>
      <w:bookmarkStart w:id="6" w:name="_Toc104550019"/>
      <w:r w:rsidRPr="00DB24BD">
        <w:rPr>
          <w:rFonts w:asciiTheme="minorHAnsi" w:hAnsiTheme="minorHAnsi" w:cstheme="minorHAnsi"/>
          <w:b/>
          <w:sz w:val="24"/>
          <w:szCs w:val="24"/>
        </w:rPr>
        <w:lastRenderedPageBreak/>
        <w:t>Fiscal Framework and the Plan to Return to the Limits Provided by the Fiscal Rules</w:t>
      </w:r>
      <w:bookmarkEnd w:id="5"/>
      <w:bookmarkEnd w:id="6"/>
      <w:r w:rsidRPr="00DB24BD">
        <w:rPr>
          <w:rFonts w:asciiTheme="minorHAnsi" w:hAnsiTheme="minorHAnsi" w:cstheme="minorHAnsi"/>
          <w:b/>
          <w:sz w:val="24"/>
          <w:szCs w:val="24"/>
        </w:rPr>
        <w:t xml:space="preserve"> </w:t>
      </w:r>
    </w:p>
    <w:p w:rsidR="00705C58" w:rsidRPr="00DB24BD" w:rsidRDefault="00705C58" w:rsidP="00705C58">
      <w:pPr>
        <w:pStyle w:val="Heading2"/>
        <w:numPr>
          <w:ilvl w:val="1"/>
          <w:numId w:val="11"/>
        </w:numPr>
        <w:spacing w:line="276" w:lineRule="auto"/>
        <w:rPr>
          <w:rFonts w:asciiTheme="minorHAnsi" w:hAnsiTheme="minorHAnsi" w:cstheme="minorHAnsi"/>
          <w:sz w:val="24"/>
          <w:szCs w:val="24"/>
        </w:rPr>
      </w:pPr>
      <w:bookmarkStart w:id="7" w:name="_Toc58952845"/>
      <w:bookmarkStart w:id="8" w:name="_Toc104550020"/>
      <w:r w:rsidRPr="00DB24BD">
        <w:rPr>
          <w:rFonts w:asciiTheme="minorHAnsi" w:hAnsiTheme="minorHAnsi" w:cstheme="minorHAnsi"/>
          <w:sz w:val="24"/>
          <w:szCs w:val="24"/>
        </w:rPr>
        <w:t>Comparing the Fiscal Framework</w:t>
      </w:r>
      <w:bookmarkEnd w:id="7"/>
      <w:bookmarkEnd w:id="8"/>
      <w:r w:rsidRPr="00DB24BD">
        <w:rPr>
          <w:rFonts w:asciiTheme="minorHAnsi" w:hAnsiTheme="minorHAnsi" w:cstheme="minorHAnsi"/>
          <w:sz w:val="24"/>
          <w:szCs w:val="24"/>
        </w:rPr>
        <w:t xml:space="preserve"> </w:t>
      </w:r>
    </w:p>
    <w:p w:rsidR="00AD738A" w:rsidRPr="00DB24BD" w:rsidRDefault="00AD738A" w:rsidP="00FB4325">
      <w:pPr>
        <w:rPr>
          <w:rFonts w:cstheme="minorHAnsi"/>
          <w:b/>
          <w:i/>
          <w:sz w:val="24"/>
          <w:szCs w:val="24"/>
          <w:u w:val="single"/>
        </w:rPr>
      </w:pPr>
    </w:p>
    <w:p w:rsidR="00DC0392" w:rsidRPr="00DB24BD" w:rsidRDefault="00DC0392" w:rsidP="00DC0392">
      <w:pPr>
        <w:spacing w:after="0" w:line="276" w:lineRule="auto"/>
        <w:ind w:firstLine="720"/>
        <w:jc w:val="both"/>
        <w:rPr>
          <w:rFonts w:cstheme="minorHAnsi"/>
          <w:sz w:val="24"/>
          <w:szCs w:val="24"/>
          <w:lang w:val="ka-GE"/>
        </w:rPr>
      </w:pPr>
      <w:r w:rsidRPr="00DB24BD">
        <w:rPr>
          <w:rFonts w:cstheme="minorHAnsi"/>
          <w:sz w:val="24"/>
          <w:szCs w:val="24"/>
          <w:lang w:val="ka-GE"/>
        </w:rPr>
        <w:t>The medium-term parameters of 2020-2023 have been planned considering the forecasts of macroeconomic and fiscal parameters by the end of 2019. According to these forecasts, consolidation policy of the current spending would be continued in the medium-term and the resources were directed to the investment projects, educational reform and the social security measures. The forecasts of the current macroeconomic and fiscal parameters have been changed and corrected completely due to the new coronavirus (COVID-19) pandemic, and fiscal projections have been corrected for 2020, as well as 2021-2024. An updated forecast of 2021-2024 reflects post-crisis assumptions related the COVID-19, which considers measures for fiscal policy stabilization in order to maintain major reforms and fiscal parameters to return to the limits established by the law.</w:t>
      </w:r>
    </w:p>
    <w:p w:rsidR="00DC0392" w:rsidRPr="00DB24BD" w:rsidRDefault="00DC0392"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Theme="minorHAnsi" w:hAnsiTheme="minorHAnsi" w:cstheme="minorHAnsi"/>
          <w:bCs/>
          <w:noProof/>
          <w:lang w:val="en-US"/>
        </w:rPr>
      </w:pPr>
      <w:r w:rsidRPr="00DB24BD">
        <w:rPr>
          <w:rFonts w:asciiTheme="minorHAnsi" w:hAnsiTheme="minorHAnsi" w:cstheme="minorHAnsi"/>
          <w:bCs/>
          <w:noProof/>
          <w:lang w:val="ka-GE"/>
        </w:rPr>
        <w:tab/>
        <w:t>As mentioned above, the negative shock caused by the coronavirus has an impact on the Georgian economy, which is highly depended on the external factors</w:t>
      </w:r>
      <w:r w:rsidRPr="00DB24BD">
        <w:rPr>
          <w:rFonts w:asciiTheme="minorHAnsi" w:hAnsiTheme="minorHAnsi" w:cstheme="minorHAnsi"/>
          <w:bCs/>
          <w:noProof/>
          <w:lang w:val="en-US"/>
        </w:rPr>
        <w:t>. Against the background of the global crisis caused by the COVID-19 pandemic in 2020, the economic downturn (6.8% of GDP) as well as the need to fund pandemic management measures were directly reflected in the volume of budget revenues, especially tax revenues, as well as expenditures and the medium-term forecasts for 2020-2024 have changed substantially.</w:t>
      </w:r>
    </w:p>
    <w:p w:rsidR="00404E8F" w:rsidRPr="00DB24BD"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Theme="minorHAnsi" w:hAnsiTheme="minorHAnsi" w:cstheme="minorHAnsi"/>
          <w:b/>
          <w:lang w:val="en-US"/>
        </w:rPr>
      </w:pPr>
      <w:r w:rsidRPr="00DB24BD">
        <w:rPr>
          <w:rFonts w:asciiTheme="minorHAnsi" w:hAnsiTheme="minorHAnsi" w:cstheme="minorHAnsi"/>
          <w:bCs/>
          <w:noProof/>
          <w:lang w:val="ka-GE"/>
        </w:rPr>
        <w:tab/>
      </w:r>
      <w:r w:rsidR="00DC0392" w:rsidRPr="00DB24BD">
        <w:rPr>
          <w:rFonts w:asciiTheme="minorHAnsi" w:hAnsiTheme="minorHAnsi" w:cstheme="minorHAnsi"/>
          <w:b/>
          <w:lang w:val="en-US"/>
        </w:rPr>
        <w:t>Medium-Term Forecasts</w:t>
      </w:r>
    </w:p>
    <w:p w:rsidR="00C5738D" w:rsidRPr="00DB24BD" w:rsidRDefault="00C5738D" w:rsidP="00EF020D">
      <w:pPr>
        <w:spacing w:after="0" w:line="276" w:lineRule="auto"/>
        <w:ind w:firstLine="720"/>
        <w:jc w:val="both"/>
        <w:rPr>
          <w:rFonts w:cstheme="minorHAnsi"/>
          <w:sz w:val="24"/>
          <w:szCs w:val="24"/>
          <w:lang w:val="ka-GE"/>
        </w:rPr>
      </w:pPr>
      <w:r w:rsidRPr="00DB24BD">
        <w:rPr>
          <w:rFonts w:cstheme="minorHAnsi"/>
          <w:sz w:val="24"/>
          <w:szCs w:val="24"/>
          <w:lang w:val="ka-GE"/>
        </w:rPr>
        <w:t>The data of 2022-2025 is reflected by the updated forecast of 2021-2024 macroeconomic and fiscal variables coming from the actual 2020 data and the current situation.</w:t>
      </w:r>
      <w:r w:rsidRPr="00DB24BD">
        <w:rPr>
          <w:rFonts w:cstheme="minorHAnsi"/>
          <w:sz w:val="24"/>
          <w:szCs w:val="24"/>
        </w:rPr>
        <w:t xml:space="preserve"> </w:t>
      </w:r>
      <w:r w:rsidRPr="00DB24BD">
        <w:rPr>
          <w:rFonts w:cstheme="minorHAnsi"/>
          <w:sz w:val="24"/>
          <w:szCs w:val="24"/>
          <w:lang w:val="ka-GE"/>
        </w:rPr>
        <w:t>The forecast of these indicators has been developed against the background of the current pandemic.</w:t>
      </w:r>
    </w:p>
    <w:p w:rsidR="00C66934" w:rsidRPr="00DB24BD" w:rsidRDefault="00C66934" w:rsidP="00EF020D">
      <w:pPr>
        <w:spacing w:after="0" w:line="276" w:lineRule="auto"/>
        <w:ind w:firstLine="720"/>
        <w:jc w:val="both"/>
        <w:rPr>
          <w:rFonts w:cstheme="minorHAnsi"/>
          <w:sz w:val="24"/>
          <w:szCs w:val="24"/>
        </w:rPr>
      </w:pPr>
      <w:r w:rsidRPr="00DB24BD">
        <w:rPr>
          <w:rFonts w:cstheme="minorHAnsi"/>
          <w:sz w:val="24"/>
          <w:szCs w:val="24"/>
          <w:lang w:val="ka-GE"/>
        </w:rPr>
        <w:t xml:space="preserve">It should be noted that the National Statistics Office of Georgia is updating the economic growth data of the previous year (2020) in November, </w:t>
      </w:r>
      <w:r w:rsidRPr="00DB24BD">
        <w:rPr>
          <w:rFonts w:cstheme="minorHAnsi"/>
          <w:sz w:val="24"/>
          <w:szCs w:val="24"/>
        </w:rPr>
        <w:t>w</w:t>
      </w:r>
      <w:r w:rsidRPr="00DB24BD">
        <w:rPr>
          <w:rFonts w:cstheme="minorHAnsi"/>
          <w:sz w:val="24"/>
          <w:szCs w:val="24"/>
          <w:lang w:val="ka-GE"/>
        </w:rPr>
        <w:t>hich also affected the nominal GDP in 2022 (defined at 64832.4 million GEL, instead of 65016.0 million GEL),</w:t>
      </w:r>
      <w:r w:rsidRPr="00DB24BD">
        <w:rPr>
          <w:rFonts w:cstheme="minorHAnsi"/>
          <w:sz w:val="24"/>
          <w:szCs w:val="24"/>
        </w:rPr>
        <w:t xml:space="preserve"> the GDP forecasts for the following years were also calculated accordingly, </w:t>
      </w:r>
      <w:r w:rsidR="001E0A58" w:rsidRPr="00DB24BD">
        <w:rPr>
          <w:rFonts w:cstheme="minorHAnsi"/>
          <w:sz w:val="24"/>
          <w:szCs w:val="24"/>
        </w:rPr>
        <w:t xml:space="preserve">despite the fact that, </w:t>
      </w:r>
      <w:r w:rsidRPr="00DB24BD">
        <w:rPr>
          <w:rFonts w:cstheme="minorHAnsi"/>
          <w:sz w:val="24"/>
          <w:szCs w:val="24"/>
        </w:rPr>
        <w:t>the real growth forecast has not changed.</w:t>
      </w:r>
      <w:r w:rsidR="001E0A58" w:rsidRPr="00DB24BD">
        <w:rPr>
          <w:rFonts w:cstheme="minorHAnsi"/>
          <w:sz w:val="24"/>
          <w:szCs w:val="24"/>
        </w:rPr>
        <w:t xml:space="preserve"> The relevant change was reflected in the submitted draft compared to the previously revised version of the draft Law of Georgia on the State Budget of Georgia for 2022.</w:t>
      </w:r>
    </w:p>
    <w:p w:rsidR="00E31633" w:rsidRPr="00DB24BD" w:rsidRDefault="00E31633" w:rsidP="00600756">
      <w:pPr>
        <w:spacing w:after="0" w:line="276" w:lineRule="auto"/>
        <w:ind w:firstLine="567"/>
        <w:jc w:val="both"/>
        <w:rPr>
          <w:rFonts w:cstheme="minorHAnsi"/>
          <w:sz w:val="24"/>
          <w:szCs w:val="24"/>
        </w:rPr>
      </w:pPr>
      <w:r w:rsidRPr="00DB24BD">
        <w:rPr>
          <w:rFonts w:cstheme="minorHAnsi"/>
          <w:sz w:val="24"/>
          <w:szCs w:val="24"/>
          <w:lang w:val="ka-GE"/>
        </w:rPr>
        <w:t>Medium-term forecasts for 2021-2024 prepared in December 2020 were updated in July 2021</w:t>
      </w:r>
      <w:r w:rsidRPr="00DB24BD">
        <w:rPr>
          <w:rFonts w:cstheme="minorHAnsi"/>
          <w:sz w:val="24"/>
          <w:szCs w:val="24"/>
        </w:rPr>
        <w:t xml:space="preserve"> and in the updated forecasts for 2022-2025, the forecasts for 2021 are updated. This is due to the fact that the economic growth rate was higher than expected this year and the real economic growth was 11.3% according to the 9-month preliminary figures. Accordingly, the updated economic growth forecast for 2021 was set at 10.0%. Taking into account the actual indicators of the past period and the current trends, the forecast of the GDP deflator in 2021 is 8.0%. Due to the increase in the forecasts of economic parameters, the forecast of nominal GDP has also increased and instead of the forecast of 57.2 billion GEL in July of the current year, the updated macroeconomic scenario is projected at 58.5 billion GEL.</w:t>
      </w:r>
    </w:p>
    <w:p w:rsidR="00E31633" w:rsidRPr="00DB24BD" w:rsidRDefault="00E31633" w:rsidP="00E31633">
      <w:pPr>
        <w:spacing w:after="0" w:line="276" w:lineRule="auto"/>
        <w:ind w:firstLine="567"/>
        <w:jc w:val="both"/>
        <w:rPr>
          <w:rFonts w:cstheme="minorHAnsi"/>
          <w:sz w:val="24"/>
          <w:szCs w:val="24"/>
        </w:rPr>
      </w:pPr>
      <w:r w:rsidRPr="00DB24BD">
        <w:rPr>
          <w:rFonts w:cstheme="minorHAnsi"/>
          <w:sz w:val="24"/>
          <w:szCs w:val="24"/>
          <w:lang w:val="ka-GE"/>
        </w:rPr>
        <w:t>The 2021 forecast predicts positive economic growth trends in the first half of the year</w:t>
      </w:r>
      <w:r w:rsidRPr="00DB24BD">
        <w:rPr>
          <w:rFonts w:cstheme="minorHAnsi"/>
          <w:sz w:val="24"/>
          <w:szCs w:val="24"/>
        </w:rPr>
        <w:t xml:space="preserve"> and significantly increased revenues by the end of 2020 compared to the projected figures. At the same time, despite the increase in the share of taxes in 2021, the deficit of the unified state budget is decreasing, both </w:t>
      </w:r>
      <w:r w:rsidRPr="00DB24BD">
        <w:rPr>
          <w:rFonts w:cstheme="minorHAnsi"/>
          <w:sz w:val="24"/>
          <w:szCs w:val="24"/>
        </w:rPr>
        <w:lastRenderedPageBreak/>
        <w:t>in nominal terms and in relation to GDP (Compared to the December 2020 forecast, it drops from 7.7% in the updated forecast to 6.8%).</w:t>
      </w:r>
    </w:p>
    <w:p w:rsidR="00304B4F" w:rsidRPr="00DB24BD" w:rsidRDefault="00E31633" w:rsidP="00E31633">
      <w:pPr>
        <w:spacing w:after="0" w:line="276" w:lineRule="auto"/>
        <w:ind w:firstLine="567"/>
        <w:jc w:val="both"/>
        <w:rPr>
          <w:rFonts w:cstheme="minorHAnsi"/>
          <w:sz w:val="24"/>
          <w:szCs w:val="24"/>
        </w:rPr>
      </w:pPr>
      <w:r w:rsidRPr="00DB24BD">
        <w:rPr>
          <w:rFonts w:cstheme="minorHAnsi"/>
          <w:sz w:val="24"/>
          <w:szCs w:val="24"/>
          <w:lang w:val="ka-GE"/>
        </w:rPr>
        <w:t xml:space="preserve">According to the updated forecasts, the non-deficit revenues of the consolidated budget have increased in nominal terms </w:t>
      </w:r>
      <w:r w:rsidRPr="00DB24BD">
        <w:rPr>
          <w:rFonts w:cstheme="minorHAnsi"/>
          <w:sz w:val="24"/>
          <w:szCs w:val="24"/>
        </w:rPr>
        <w:t>and from 2022 non-deficit revenues of the consolidated budget in relation to GDP practically return to the pre-pandemic forecast.</w:t>
      </w:r>
    </w:p>
    <w:p w:rsidR="00E31633" w:rsidRPr="00DB24BD" w:rsidRDefault="00E31633" w:rsidP="00AD738A">
      <w:pPr>
        <w:spacing w:line="276" w:lineRule="auto"/>
        <w:ind w:firstLine="567"/>
        <w:jc w:val="both"/>
        <w:rPr>
          <w:rFonts w:cstheme="minorHAnsi"/>
          <w:sz w:val="24"/>
          <w:szCs w:val="24"/>
          <w:lang w:val="ka-GE"/>
        </w:rPr>
      </w:pPr>
      <w:r w:rsidRPr="00DB24BD">
        <w:rPr>
          <w:rFonts w:cstheme="minorHAnsi"/>
          <w:sz w:val="24"/>
          <w:szCs w:val="24"/>
          <w:lang w:val="ka-GE"/>
        </w:rPr>
        <w:t>Also, as a result of the active privatization initiated by the Government of Georgia, the updated forecasts for 2022 maintain a high rate of non-financial assets receivables.</w:t>
      </w:r>
    </w:p>
    <w:p w:rsidR="00AD738A" w:rsidRPr="00DB24BD" w:rsidRDefault="00A922FA"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Theme="minorHAnsi" w:hAnsiTheme="minorHAnsi" w:cstheme="minorHAnsi"/>
          <w:b/>
          <w:bCs/>
          <w:noProof/>
          <w:lang w:val="ka-GE"/>
        </w:rPr>
      </w:pPr>
      <w:r w:rsidRPr="00DB24BD">
        <w:rPr>
          <w:rFonts w:asciiTheme="minorHAnsi" w:hAnsiTheme="minorHAnsi" w:cstheme="minorHAnsi"/>
          <w:b/>
          <w:bCs/>
          <w:noProof/>
          <w:lang w:val="ka-GE"/>
        </w:rPr>
        <w:t xml:space="preserve">Table </w:t>
      </w:r>
      <w:r w:rsidR="00C24549" w:rsidRPr="00DB24BD">
        <w:rPr>
          <w:rFonts w:asciiTheme="minorHAnsi" w:hAnsiTheme="minorHAnsi" w:cstheme="minorHAnsi"/>
          <w:b/>
          <w:bCs/>
          <w:noProof/>
          <w:lang w:val="ka-GE"/>
        </w:rPr>
        <w:t>№5</w:t>
      </w:r>
      <w:r w:rsidR="005E18E6" w:rsidRPr="00DB24BD">
        <w:rPr>
          <w:rFonts w:asciiTheme="minorHAnsi" w:hAnsiTheme="minorHAnsi" w:cstheme="minorHAnsi"/>
          <w:b/>
          <w:bCs/>
          <w:noProof/>
          <w:lang w:val="ka-GE"/>
        </w:rPr>
        <w:t xml:space="preserve"> -</w:t>
      </w:r>
      <w:r w:rsidR="00A229BF" w:rsidRPr="00DB24BD">
        <w:rPr>
          <w:rFonts w:asciiTheme="minorHAnsi" w:hAnsiTheme="minorHAnsi" w:cstheme="minorHAnsi"/>
          <w:b/>
          <w:bCs/>
          <w:noProof/>
          <w:lang w:val="ka-GE"/>
        </w:rPr>
        <w:t xml:space="preserve"> </w:t>
      </w:r>
      <w:r w:rsidRPr="00DB24BD">
        <w:rPr>
          <w:rFonts w:asciiTheme="minorHAnsi" w:hAnsiTheme="minorHAnsi" w:cstheme="minorHAnsi"/>
          <w:b/>
          <w:bCs/>
          <w:noProof/>
          <w:lang w:val="ka-GE"/>
        </w:rPr>
        <w:t>Revenue Forecast</w:t>
      </w:r>
    </w:p>
    <w:p w:rsidR="00542BAD" w:rsidRPr="00DB24BD" w:rsidRDefault="00A922FA"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Theme="minorHAnsi" w:hAnsiTheme="minorHAnsi" w:cstheme="minorHAnsi"/>
          <w:b/>
          <w:bCs/>
          <w:noProof/>
          <w:lang w:val="ka-GE"/>
        </w:rPr>
      </w:pPr>
      <w:r w:rsidRPr="00DB24BD">
        <w:rPr>
          <w:rFonts w:asciiTheme="minorHAnsi" w:hAnsiTheme="minorHAnsi" w:cstheme="minorHAnsi"/>
          <w:b/>
          <w:bCs/>
          <w:noProof/>
          <w:lang w:val="ka-GE"/>
        </w:rPr>
        <w:t>/</w:t>
      </w:r>
      <w:r w:rsidRPr="00DB24BD">
        <w:rPr>
          <w:rFonts w:asciiTheme="minorHAnsi" w:hAnsiTheme="minorHAnsi" w:cstheme="minorHAnsi"/>
          <w:lang w:val="ka-GE"/>
        </w:rPr>
        <w:t xml:space="preserve"> </w:t>
      </w:r>
      <w:r w:rsidRPr="00DB24BD">
        <w:rPr>
          <w:rFonts w:asciiTheme="minorHAnsi" w:hAnsiTheme="minorHAnsi" w:cstheme="minorHAnsi"/>
          <w:b/>
          <w:bCs/>
          <w:noProof/>
          <w:lang w:val="ka-GE"/>
        </w:rPr>
        <w:t xml:space="preserve">Million GEL </w:t>
      </w:r>
      <w:r w:rsidR="00542BAD" w:rsidRPr="00DB24BD">
        <w:rPr>
          <w:rFonts w:asciiTheme="minorHAnsi" w:hAnsiTheme="minorHAnsi" w:cstheme="minorHAnsi"/>
          <w:b/>
          <w:bCs/>
          <w:noProof/>
          <w:lang w:val="ka-GE"/>
        </w:rPr>
        <w:t>/</w:t>
      </w:r>
    </w:p>
    <w:tbl>
      <w:tblPr>
        <w:tblW w:w="5000" w:type="pct"/>
        <w:tblLook w:val="04A0" w:firstRow="1" w:lastRow="0" w:firstColumn="1" w:lastColumn="0" w:noHBand="0" w:noVBand="1"/>
      </w:tblPr>
      <w:tblGrid>
        <w:gridCol w:w="3869"/>
        <w:gridCol w:w="1079"/>
        <w:gridCol w:w="1079"/>
        <w:gridCol w:w="1079"/>
        <w:gridCol w:w="1079"/>
        <w:gridCol w:w="1079"/>
        <w:gridCol w:w="1073"/>
      </w:tblGrid>
      <w:tr w:rsidR="004025F5" w:rsidRPr="00DB24BD" w:rsidTr="00870058">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25F5" w:rsidRPr="00DB24BD" w:rsidRDefault="00A922FA"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Name</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2021</w:t>
            </w:r>
          </w:p>
        </w:tc>
        <w:tc>
          <w:tcPr>
            <w:tcW w:w="522" w:type="pct"/>
            <w:tcBorders>
              <w:top w:val="single" w:sz="4" w:space="0" w:color="auto"/>
              <w:left w:val="nil"/>
              <w:bottom w:val="single" w:sz="4" w:space="0" w:color="auto"/>
              <w:right w:val="single" w:sz="4" w:space="0" w:color="auto"/>
            </w:tcBorders>
            <w:shd w:val="clear" w:color="000000" w:fill="FFFFFF"/>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2024</w:t>
            </w:r>
          </w:p>
        </w:tc>
        <w:tc>
          <w:tcPr>
            <w:tcW w:w="519" w:type="pct"/>
            <w:tcBorders>
              <w:top w:val="single" w:sz="4" w:space="0" w:color="auto"/>
              <w:left w:val="nil"/>
              <w:bottom w:val="single" w:sz="4" w:space="0" w:color="auto"/>
              <w:right w:val="single" w:sz="4" w:space="0" w:color="auto"/>
            </w:tcBorders>
            <w:shd w:val="clear" w:color="000000" w:fill="FDE9D9"/>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2025</w:t>
            </w:r>
          </w:p>
        </w:tc>
      </w:tr>
      <w:tr w:rsidR="004025F5" w:rsidRPr="00DB24BD" w:rsidTr="00870058">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4025F5" w:rsidRPr="00DB24BD" w:rsidRDefault="004025F5" w:rsidP="004025F5">
            <w:pPr>
              <w:spacing w:after="0" w:line="240" w:lineRule="auto"/>
              <w:rPr>
                <w:rFonts w:eastAsia="Times New Roman" w:cstheme="minorHAnsi"/>
                <w:b/>
                <w:bCs/>
                <w:sz w:val="20"/>
                <w:szCs w:val="20"/>
              </w:rPr>
            </w:pP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A922FA"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Fact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A922FA"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DB24BD" w:rsidRDefault="00A922FA"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A922FA"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A922FA"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19" w:type="pct"/>
            <w:tcBorders>
              <w:top w:val="nil"/>
              <w:left w:val="nil"/>
              <w:bottom w:val="single" w:sz="4" w:space="0" w:color="auto"/>
              <w:right w:val="single" w:sz="4" w:space="0" w:color="auto"/>
            </w:tcBorders>
            <w:shd w:val="clear" w:color="000000" w:fill="FDE9D9"/>
            <w:noWrap/>
            <w:vAlign w:val="center"/>
            <w:hideMark/>
          </w:tcPr>
          <w:p w:rsidR="004025F5" w:rsidRPr="00DB24BD" w:rsidRDefault="00A922FA"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r>
      <w:tr w:rsidR="004025F5" w:rsidRPr="00DB24BD"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870058"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Million GEL</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A922FA" w:rsidP="004025F5">
            <w:pPr>
              <w:spacing w:after="0" w:line="240" w:lineRule="auto"/>
              <w:rPr>
                <w:rFonts w:eastAsia="Times New Roman" w:cstheme="minorHAnsi"/>
                <w:b/>
                <w:bCs/>
                <w:sz w:val="20"/>
                <w:szCs w:val="20"/>
              </w:rPr>
            </w:pPr>
            <w:r w:rsidRPr="00DB24BD">
              <w:rPr>
                <w:rFonts w:eastAsia="Times New Roman" w:cstheme="minorHAnsi"/>
                <w:b/>
                <w:bCs/>
                <w:sz w:val="20"/>
                <w:szCs w:val="20"/>
              </w:rPr>
              <w:t>Revenue</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025F5"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4025F5" w:rsidP="004025F5">
            <w:pPr>
              <w:spacing w:after="0" w:line="240" w:lineRule="auto"/>
              <w:rPr>
                <w:rFonts w:eastAsia="Times New Roman" w:cstheme="minorHAnsi"/>
                <w:sz w:val="20"/>
                <w:szCs w:val="20"/>
              </w:rPr>
            </w:pPr>
            <w:r w:rsidRPr="00DB24BD">
              <w:rPr>
                <w:rFonts w:eastAsia="Times New Roman" w:cstheme="minorHAnsi"/>
                <w:sz w:val="20"/>
                <w:szCs w:val="20"/>
              </w:rPr>
              <w:t xml:space="preserve">2021-2024 </w:t>
            </w:r>
            <w:r w:rsidR="00A922FA" w:rsidRPr="00DB24BD">
              <w:rPr>
                <w:rFonts w:eastAsia="Times New Roman" w:cstheme="minorHAnsi"/>
                <w:sz w:val="20"/>
                <w:szCs w:val="20"/>
              </w:rPr>
              <w:t>Forecast</w:t>
            </w:r>
            <w:r w:rsidRPr="00DB24BD">
              <w:rPr>
                <w:rFonts w:eastAsia="Times New Roman" w:cstheme="minorHAnsi"/>
                <w:sz w:val="20"/>
                <w:szCs w:val="20"/>
              </w:rPr>
              <w:t xml:space="preserve"> (</w:t>
            </w:r>
            <w:r w:rsidR="00A922FA" w:rsidRPr="00DB24BD">
              <w:rPr>
                <w:rFonts w:eastAsia="Times New Roman" w:cstheme="minorHAnsi"/>
                <w:sz w:val="20"/>
                <w:szCs w:val="20"/>
              </w:rPr>
              <w:t>December 2020</w:t>
            </w:r>
            <w:r w:rsidRPr="00DB24BD">
              <w:rPr>
                <w:rFonts w:eastAsia="Times New Roman" w:cstheme="minorHAnsi"/>
                <w:sz w:val="20"/>
                <w:szCs w:val="20"/>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12 626,0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13 402,0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14 969,0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16 331,0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17 827,0</w:t>
            </w:r>
          </w:p>
        </w:tc>
        <w:tc>
          <w:tcPr>
            <w:tcW w:w="519" w:type="pct"/>
            <w:tcBorders>
              <w:top w:val="nil"/>
              <w:left w:val="nil"/>
              <w:bottom w:val="single" w:sz="4" w:space="0" w:color="auto"/>
              <w:right w:val="single" w:sz="4" w:space="0" w:color="auto"/>
            </w:tcBorders>
            <w:shd w:val="clear" w:color="000000" w:fill="FDE9D9"/>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025F5"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A922FA" w:rsidP="004025F5">
            <w:pPr>
              <w:spacing w:after="0" w:line="240" w:lineRule="auto"/>
              <w:rPr>
                <w:rFonts w:eastAsia="Times New Roman" w:cstheme="minorHAnsi"/>
                <w:sz w:val="20"/>
                <w:szCs w:val="20"/>
              </w:rPr>
            </w:pPr>
            <w:r w:rsidRPr="00DB24BD">
              <w:rPr>
                <w:rFonts w:eastAsia="Times New Roman" w:cstheme="minorHAnsi"/>
                <w:sz w:val="20"/>
                <w:szCs w:val="20"/>
              </w:rPr>
              <w:t>2022-2025 Forecast</w:t>
            </w:r>
            <w:r w:rsidR="004025F5" w:rsidRPr="00DB24BD">
              <w:rPr>
                <w:rFonts w:eastAsia="Times New Roman" w:cstheme="minorHAnsi"/>
                <w:sz w:val="20"/>
                <w:szCs w:val="20"/>
              </w:rPr>
              <w:t xml:space="preserve"> (</w:t>
            </w:r>
            <w:r w:rsidRPr="00DB24BD">
              <w:rPr>
                <w:rFonts w:eastAsia="Times New Roman" w:cstheme="minorHAnsi"/>
                <w:sz w:val="20"/>
                <w:szCs w:val="20"/>
              </w:rPr>
              <w:t>July 2021</w:t>
            </w:r>
            <w:r w:rsidR="004025F5" w:rsidRPr="00DB24BD">
              <w:rPr>
                <w:rFonts w:eastAsia="Times New Roman" w:cstheme="minorHAnsi"/>
                <w:sz w:val="20"/>
                <w:szCs w:val="20"/>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14 579,0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16 490,0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18 052,0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19 530,0</w:t>
            </w:r>
          </w:p>
        </w:tc>
        <w:tc>
          <w:tcPr>
            <w:tcW w:w="519"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21 114,0</w:t>
            </w:r>
          </w:p>
        </w:tc>
      </w:tr>
      <w:tr w:rsidR="004025F5"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A922FA" w:rsidP="004025F5">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-219,0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1 177,0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1 521,0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1 721,0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1 703,0</w:t>
            </w:r>
          </w:p>
        </w:tc>
        <w:tc>
          <w:tcPr>
            <w:tcW w:w="519" w:type="pct"/>
            <w:tcBorders>
              <w:top w:val="nil"/>
              <w:left w:val="nil"/>
              <w:bottom w:val="single" w:sz="4" w:space="0" w:color="auto"/>
              <w:right w:val="single" w:sz="4" w:space="0" w:color="auto"/>
            </w:tcBorders>
            <w:shd w:val="clear" w:color="000000" w:fill="FDE9D9"/>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4025F5"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A922FA" w:rsidP="00A922FA">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w:t>
            </w:r>
            <w:r w:rsidR="004025F5" w:rsidRPr="00DB24BD">
              <w:rPr>
                <w:rFonts w:eastAsia="Times New Roman" w:cstheme="minorHAnsi"/>
                <w:color w:val="203764"/>
                <w:sz w:val="20"/>
                <w:szCs w:val="20"/>
              </w:rPr>
              <w:t xml:space="preserve"> (</w:t>
            </w:r>
            <w:r w:rsidR="00765F91">
              <w:rPr>
                <w:rFonts w:eastAsia="Times New Roman" w:cstheme="minorHAnsi"/>
                <w:color w:val="203764"/>
                <w:sz w:val="20"/>
                <w:szCs w:val="20"/>
              </w:rPr>
              <w:t xml:space="preserve">Draft Budget </w:t>
            </w:r>
            <w:r w:rsidRPr="00DB24BD">
              <w:rPr>
                <w:rFonts w:eastAsia="Times New Roman" w:cstheme="minorHAnsi"/>
                <w:color w:val="203764"/>
                <w:sz w:val="20"/>
                <w:szCs w:val="20"/>
              </w:rPr>
              <w:t>2022</w:t>
            </w:r>
            <w:r w:rsidR="004025F5" w:rsidRPr="00DB24BD">
              <w:rPr>
                <w:rFonts w:eastAsia="Times New Roman" w:cstheme="minorHAnsi"/>
                <w:color w:val="203764"/>
                <w:sz w:val="20"/>
                <w:szCs w:val="20"/>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14 928,0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17 205,0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18 228,0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19 732,0</w:t>
            </w:r>
          </w:p>
        </w:tc>
        <w:tc>
          <w:tcPr>
            <w:tcW w:w="519"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21 266,0</w:t>
            </w:r>
          </w:p>
        </w:tc>
      </w:tr>
      <w:tr w:rsidR="004025F5"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A922FA" w:rsidP="004025F5">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349,0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715,0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176,0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202,0</w:t>
            </w:r>
          </w:p>
        </w:tc>
        <w:tc>
          <w:tcPr>
            <w:tcW w:w="519"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152,0</w:t>
            </w:r>
          </w:p>
        </w:tc>
      </w:tr>
      <w:tr w:rsidR="004025F5" w:rsidRPr="00DB24BD"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870058" w:rsidP="004025F5">
            <w:pPr>
              <w:spacing w:after="0" w:line="240" w:lineRule="auto"/>
              <w:rPr>
                <w:rFonts w:eastAsia="Times New Roman" w:cstheme="minorHAnsi"/>
                <w:b/>
                <w:bCs/>
                <w:sz w:val="20"/>
                <w:szCs w:val="20"/>
              </w:rPr>
            </w:pPr>
            <w:r w:rsidRPr="00DB24BD">
              <w:rPr>
                <w:rFonts w:eastAsia="Times New Roman" w:cstheme="minorHAnsi"/>
                <w:b/>
                <w:bCs/>
                <w:sz w:val="20"/>
                <w:szCs w:val="20"/>
              </w:rPr>
              <w:t>Decrease in Non-Financial Assets</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70058" w:rsidRPr="00DB24BD" w:rsidRDefault="00870058" w:rsidP="00870058">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150,0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19" w:type="pct"/>
            <w:tcBorders>
              <w:top w:val="nil"/>
              <w:left w:val="nil"/>
              <w:bottom w:val="single" w:sz="4" w:space="0" w:color="auto"/>
              <w:right w:val="single" w:sz="4" w:space="0" w:color="auto"/>
            </w:tcBorders>
            <w:shd w:val="clear" w:color="000000" w:fill="FDE9D9"/>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70058" w:rsidRPr="00DB24BD" w:rsidRDefault="00870058" w:rsidP="00870058">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207,9</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480,0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19"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250,0</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57,9</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230,0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19" w:type="pct"/>
            <w:tcBorders>
              <w:top w:val="nil"/>
              <w:left w:val="nil"/>
              <w:bottom w:val="single" w:sz="4" w:space="0" w:color="auto"/>
              <w:right w:val="single" w:sz="4" w:space="0" w:color="auto"/>
            </w:tcBorders>
            <w:shd w:val="clear" w:color="000000" w:fill="FDE9D9"/>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70058" w:rsidRPr="00DB24BD" w:rsidRDefault="00870058" w:rsidP="00870058">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 xml:space="preserve">Draft Budget </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-207,9</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-480,0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-450,0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-250,0</w:t>
            </w:r>
          </w:p>
        </w:tc>
        <w:tc>
          <w:tcPr>
            <w:tcW w:w="519"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-250,0</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-415,8</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-960,0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-700,0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-500,0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-500,0</w:t>
            </w:r>
          </w:p>
        </w:tc>
        <w:tc>
          <w:tcPr>
            <w:tcW w:w="519"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-500,0</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870058" w:rsidP="004025F5">
            <w:pPr>
              <w:spacing w:after="0" w:line="240" w:lineRule="auto"/>
              <w:rPr>
                <w:rFonts w:eastAsia="Times New Roman" w:cstheme="minorHAnsi"/>
                <w:b/>
                <w:bCs/>
                <w:sz w:val="20"/>
                <w:szCs w:val="20"/>
              </w:rPr>
            </w:pPr>
            <w:r w:rsidRPr="00DB24BD">
              <w:rPr>
                <w:rFonts w:eastAsia="Times New Roman" w:cstheme="minorHAnsi"/>
                <w:b/>
                <w:bCs/>
                <w:sz w:val="20"/>
                <w:szCs w:val="20"/>
              </w:rPr>
              <w:t>Decrease in Financial Assets</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70058" w:rsidRPr="00DB24BD" w:rsidRDefault="00870058" w:rsidP="00870058">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130,0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150,0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115,0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115,0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115,0</w:t>
            </w:r>
          </w:p>
        </w:tc>
        <w:tc>
          <w:tcPr>
            <w:tcW w:w="519" w:type="pct"/>
            <w:tcBorders>
              <w:top w:val="nil"/>
              <w:left w:val="nil"/>
              <w:bottom w:val="single" w:sz="4" w:space="0" w:color="auto"/>
              <w:right w:val="single" w:sz="4" w:space="0" w:color="auto"/>
            </w:tcBorders>
            <w:shd w:val="clear" w:color="000000" w:fill="FDE9D9"/>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70058" w:rsidRPr="00DB24BD" w:rsidRDefault="00870058" w:rsidP="00870058">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167,4</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115,0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115,0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115,0</w:t>
            </w:r>
          </w:p>
        </w:tc>
        <w:tc>
          <w:tcPr>
            <w:tcW w:w="519"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sz w:val="20"/>
                <w:szCs w:val="20"/>
              </w:rPr>
            </w:pPr>
            <w:r w:rsidRPr="00DB24BD">
              <w:rPr>
                <w:rFonts w:eastAsia="Times New Roman" w:cstheme="minorHAnsi"/>
                <w:sz w:val="20"/>
                <w:szCs w:val="20"/>
              </w:rPr>
              <w:t>115,0</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37,4</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60,0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19" w:type="pct"/>
            <w:tcBorders>
              <w:top w:val="nil"/>
              <w:left w:val="nil"/>
              <w:bottom w:val="single" w:sz="4" w:space="0" w:color="auto"/>
              <w:right w:val="single" w:sz="4" w:space="0" w:color="auto"/>
            </w:tcBorders>
            <w:shd w:val="clear" w:color="000000" w:fill="FDE9D9"/>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70058" w:rsidRPr="00DB24BD" w:rsidRDefault="00870058" w:rsidP="00870058">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 xml:space="preserve">Draft Budget </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-167,4</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-130,0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-130,0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-130,0</w:t>
            </w:r>
          </w:p>
        </w:tc>
        <w:tc>
          <w:tcPr>
            <w:tcW w:w="519"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-130,0</w:t>
            </w:r>
          </w:p>
        </w:tc>
      </w:tr>
      <w:tr w:rsidR="00870058"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-334,8</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-420,0</w:t>
            </w:r>
          </w:p>
        </w:tc>
        <w:tc>
          <w:tcPr>
            <w:tcW w:w="522" w:type="pct"/>
            <w:tcBorders>
              <w:top w:val="nil"/>
              <w:left w:val="nil"/>
              <w:bottom w:val="single" w:sz="4" w:space="0" w:color="auto"/>
              <w:right w:val="single" w:sz="4" w:space="0" w:color="auto"/>
            </w:tcBorders>
            <w:shd w:val="clear" w:color="000000" w:fill="FFFFFF"/>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-245,0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-245,0</w:t>
            </w:r>
          </w:p>
        </w:tc>
        <w:tc>
          <w:tcPr>
            <w:tcW w:w="522"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-245,0</w:t>
            </w:r>
          </w:p>
        </w:tc>
        <w:tc>
          <w:tcPr>
            <w:tcW w:w="519" w:type="pct"/>
            <w:tcBorders>
              <w:top w:val="nil"/>
              <w:left w:val="nil"/>
              <w:bottom w:val="single" w:sz="4" w:space="0" w:color="auto"/>
              <w:right w:val="single" w:sz="4" w:space="0" w:color="auto"/>
            </w:tcBorders>
            <w:shd w:val="clear" w:color="auto" w:fill="auto"/>
            <w:noWrap/>
            <w:vAlign w:val="center"/>
            <w:hideMark/>
          </w:tcPr>
          <w:p w:rsidR="00870058" w:rsidRPr="00DB24BD" w:rsidRDefault="00870058" w:rsidP="00870058">
            <w:pPr>
              <w:spacing w:after="0" w:line="240" w:lineRule="auto"/>
              <w:jc w:val="center"/>
              <w:rPr>
                <w:rFonts w:eastAsia="Times New Roman" w:cstheme="minorHAnsi"/>
                <w:i/>
                <w:iCs/>
                <w:sz w:val="20"/>
                <w:szCs w:val="20"/>
              </w:rPr>
            </w:pPr>
            <w:r w:rsidRPr="00DB24BD">
              <w:rPr>
                <w:rFonts w:eastAsia="Times New Roman" w:cstheme="minorHAnsi"/>
                <w:i/>
                <w:iCs/>
                <w:sz w:val="20"/>
                <w:szCs w:val="20"/>
              </w:rPr>
              <w:t>-245,0</w:t>
            </w:r>
          </w:p>
        </w:tc>
      </w:tr>
      <w:tr w:rsidR="004025F5" w:rsidRPr="00DB24BD"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025F5" w:rsidRPr="00DB24BD"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0359EA"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 of GDP</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0359EA" w:rsidP="000359EA">
            <w:pPr>
              <w:spacing w:after="0" w:line="240" w:lineRule="auto"/>
              <w:rPr>
                <w:rFonts w:eastAsia="Times New Roman" w:cstheme="minorHAnsi"/>
                <w:b/>
                <w:bCs/>
                <w:sz w:val="20"/>
                <w:szCs w:val="20"/>
              </w:rPr>
            </w:pPr>
            <w:r w:rsidRPr="00DB24BD">
              <w:rPr>
                <w:rFonts w:eastAsia="Times New Roman" w:cstheme="minorHAnsi"/>
                <w:b/>
                <w:bCs/>
                <w:sz w:val="20"/>
                <w:szCs w:val="20"/>
              </w:rPr>
              <w:t>Revenue</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B36F6" w:rsidRPr="00DB24BD" w:rsidRDefault="00EB36F6" w:rsidP="00EB36F6">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25,6%</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25,1%</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25,7%</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25,8%</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26,0%</w:t>
            </w:r>
          </w:p>
        </w:tc>
        <w:tc>
          <w:tcPr>
            <w:tcW w:w="519" w:type="pct"/>
            <w:tcBorders>
              <w:top w:val="nil"/>
              <w:left w:val="nil"/>
              <w:bottom w:val="single" w:sz="4" w:space="0" w:color="auto"/>
              <w:right w:val="single" w:sz="4" w:space="0" w:color="auto"/>
            </w:tcBorders>
            <w:shd w:val="clear" w:color="000000" w:fill="FCE4D6"/>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B36F6" w:rsidRPr="00DB24BD" w:rsidRDefault="00EB36F6" w:rsidP="00EB36F6">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25,1%</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25,5%</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26,0%</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25,8%</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25,7%</w:t>
            </w:r>
          </w:p>
        </w:tc>
        <w:tc>
          <w:tcPr>
            <w:tcW w:w="519"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25,7%</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-0,5%</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-0,3%</w:t>
            </w:r>
          </w:p>
        </w:tc>
        <w:tc>
          <w:tcPr>
            <w:tcW w:w="519" w:type="pct"/>
            <w:tcBorders>
              <w:top w:val="nil"/>
              <w:left w:val="nil"/>
              <w:bottom w:val="single" w:sz="4" w:space="0" w:color="auto"/>
              <w:right w:val="single" w:sz="4" w:space="0" w:color="auto"/>
            </w:tcBorders>
            <w:shd w:val="clear" w:color="000000" w:fill="FCE4D6"/>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4025F5"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4025F5" w:rsidP="00765F91">
            <w:pPr>
              <w:spacing w:after="0" w:line="240" w:lineRule="auto"/>
              <w:rPr>
                <w:rFonts w:eastAsia="Times New Roman" w:cstheme="minorHAnsi"/>
                <w:color w:val="203764"/>
                <w:sz w:val="20"/>
                <w:szCs w:val="20"/>
              </w:rPr>
            </w:pPr>
            <w:r w:rsidRPr="00DB24BD">
              <w:rPr>
                <w:rFonts w:eastAsia="Times New Roman" w:cstheme="minorHAnsi"/>
                <w:color w:val="203764"/>
                <w:sz w:val="20"/>
                <w:szCs w:val="20"/>
              </w:rPr>
              <w:t xml:space="preserve">2022-2025 </w:t>
            </w:r>
            <w:r w:rsidR="00EB36F6" w:rsidRPr="00DB24BD">
              <w:rPr>
                <w:rFonts w:eastAsia="Times New Roman" w:cstheme="minorHAnsi"/>
                <w:color w:val="203764"/>
                <w:sz w:val="20"/>
                <w:szCs w:val="20"/>
              </w:rPr>
              <w:t>Forecast</w:t>
            </w:r>
            <w:r w:rsidRPr="00DB24BD">
              <w:rPr>
                <w:rFonts w:eastAsia="Times New Roman" w:cstheme="minorHAnsi"/>
                <w:color w:val="203764"/>
                <w:sz w:val="20"/>
                <w:szCs w:val="20"/>
              </w:rPr>
              <w:t xml:space="preserve"> (</w:t>
            </w:r>
            <w:r w:rsidR="00765F91">
              <w:rPr>
                <w:rFonts w:eastAsia="Times New Roman" w:cstheme="minorHAnsi"/>
                <w:color w:val="203764"/>
                <w:sz w:val="20"/>
                <w:szCs w:val="20"/>
              </w:rPr>
              <w:t>Draft Budget 2022</w:t>
            </w:r>
            <w:r w:rsidRPr="00DB24BD">
              <w:rPr>
                <w:rFonts w:eastAsia="Times New Roman" w:cstheme="minorHAnsi"/>
                <w:color w:val="203764"/>
                <w:sz w:val="20"/>
                <w:szCs w:val="20"/>
              </w:rPr>
              <w:t>)</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25,2%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25,5%</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26,5%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25,9%</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25,8%</w:t>
            </w:r>
          </w:p>
        </w:tc>
        <w:tc>
          <w:tcPr>
            <w:tcW w:w="519"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25,7%</w:t>
            </w:r>
          </w:p>
        </w:tc>
      </w:tr>
      <w:tr w:rsidR="004025F5"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EB36F6" w:rsidP="004025F5">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0,6%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19"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EB36F6" w:rsidP="004025F5">
            <w:pPr>
              <w:spacing w:after="0" w:line="240" w:lineRule="auto"/>
              <w:rPr>
                <w:rFonts w:eastAsia="Times New Roman" w:cstheme="minorHAnsi"/>
                <w:b/>
                <w:bCs/>
                <w:sz w:val="20"/>
                <w:szCs w:val="20"/>
              </w:rPr>
            </w:pPr>
            <w:r w:rsidRPr="00DB24BD">
              <w:rPr>
                <w:rFonts w:eastAsia="Times New Roman" w:cstheme="minorHAnsi"/>
                <w:b/>
                <w:bCs/>
                <w:sz w:val="20"/>
                <w:szCs w:val="20"/>
              </w:rPr>
              <w:t>Decrease in Non-Financial Assets</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B36F6" w:rsidRPr="00DB24BD" w:rsidRDefault="00EB36F6" w:rsidP="00EB36F6">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0,5%</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19" w:type="pct"/>
            <w:tcBorders>
              <w:top w:val="nil"/>
              <w:left w:val="nil"/>
              <w:bottom w:val="single" w:sz="4" w:space="0" w:color="auto"/>
              <w:right w:val="single" w:sz="4" w:space="0" w:color="auto"/>
            </w:tcBorders>
            <w:shd w:val="clear" w:color="000000" w:fill="FCE4D6"/>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B36F6" w:rsidRPr="00DB24BD" w:rsidRDefault="00EB36F6" w:rsidP="00EB36F6">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0,3%</w:t>
            </w:r>
          </w:p>
        </w:tc>
        <w:tc>
          <w:tcPr>
            <w:tcW w:w="519"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0,3%</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19" w:type="pct"/>
            <w:tcBorders>
              <w:top w:val="nil"/>
              <w:left w:val="nil"/>
              <w:bottom w:val="single" w:sz="4" w:space="0" w:color="auto"/>
              <w:right w:val="single" w:sz="4" w:space="0" w:color="auto"/>
            </w:tcBorders>
            <w:shd w:val="clear" w:color="000000" w:fill="FCE4D6"/>
            <w:noWrap/>
            <w:vAlign w:val="center"/>
            <w:hideMark/>
          </w:tcPr>
          <w:p w:rsidR="00EB36F6" w:rsidRPr="00DB24BD" w:rsidRDefault="00EB36F6" w:rsidP="00EB36F6">
            <w:pPr>
              <w:spacing w:after="0" w:line="240" w:lineRule="auto"/>
              <w:rPr>
                <w:rFonts w:eastAsia="Times New Roman" w:cstheme="minorHAnsi"/>
                <w:i/>
                <w:iCs/>
                <w:sz w:val="20"/>
                <w:szCs w:val="20"/>
              </w:rPr>
            </w:pPr>
            <w:r w:rsidRPr="00DB24BD">
              <w:rPr>
                <w:rFonts w:eastAsia="Times New Roman" w:cstheme="minorHAnsi"/>
                <w:i/>
                <w:iCs/>
                <w:sz w:val="20"/>
                <w:szCs w:val="20"/>
              </w:rPr>
              <w:t> </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B36F6" w:rsidRPr="00DB24BD" w:rsidRDefault="00EB36F6" w:rsidP="00EB36F6">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-0,7%</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-0,3%</w:t>
            </w:r>
          </w:p>
        </w:tc>
        <w:tc>
          <w:tcPr>
            <w:tcW w:w="519"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-0,3%</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-0,8%</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-1,7%</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-1,1%</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-0,7%</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-0,7%</w:t>
            </w:r>
          </w:p>
        </w:tc>
        <w:tc>
          <w:tcPr>
            <w:tcW w:w="519"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-0,6%</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EB36F6" w:rsidP="004025F5">
            <w:pPr>
              <w:spacing w:after="0" w:line="240" w:lineRule="auto"/>
              <w:rPr>
                <w:rFonts w:eastAsia="Times New Roman" w:cstheme="minorHAnsi"/>
                <w:b/>
                <w:bCs/>
                <w:sz w:val="20"/>
                <w:szCs w:val="20"/>
              </w:rPr>
            </w:pPr>
            <w:r w:rsidRPr="00DB24BD">
              <w:rPr>
                <w:rFonts w:eastAsia="Times New Roman" w:cstheme="minorHAnsi"/>
                <w:b/>
                <w:bCs/>
                <w:sz w:val="20"/>
                <w:szCs w:val="20"/>
              </w:rPr>
              <w:t>Decrease in Financial Assets</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B36F6" w:rsidRPr="00DB24BD" w:rsidRDefault="00EB36F6" w:rsidP="00EB36F6">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0,2%</w:t>
            </w:r>
          </w:p>
        </w:tc>
        <w:tc>
          <w:tcPr>
            <w:tcW w:w="519" w:type="pct"/>
            <w:tcBorders>
              <w:top w:val="nil"/>
              <w:left w:val="nil"/>
              <w:bottom w:val="single" w:sz="4" w:space="0" w:color="auto"/>
              <w:right w:val="single" w:sz="4" w:space="0" w:color="auto"/>
            </w:tcBorders>
            <w:shd w:val="clear" w:color="000000" w:fill="FCE4D6"/>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B36F6" w:rsidRPr="00DB24BD" w:rsidRDefault="00EB36F6" w:rsidP="00EB36F6">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0,2%</w:t>
            </w:r>
          </w:p>
        </w:tc>
        <w:tc>
          <w:tcPr>
            <w:tcW w:w="519"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sz w:val="20"/>
                <w:szCs w:val="20"/>
              </w:rPr>
            </w:pPr>
            <w:r w:rsidRPr="00DB24BD">
              <w:rPr>
                <w:rFonts w:eastAsia="Times New Roman" w:cstheme="minorHAnsi"/>
                <w:sz w:val="20"/>
                <w:szCs w:val="20"/>
              </w:rPr>
              <w:t>0,1%</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19" w:type="pct"/>
            <w:tcBorders>
              <w:top w:val="nil"/>
              <w:left w:val="nil"/>
              <w:bottom w:val="single" w:sz="4" w:space="0" w:color="auto"/>
              <w:right w:val="single" w:sz="4" w:space="0" w:color="auto"/>
            </w:tcBorders>
            <w:shd w:val="clear" w:color="000000" w:fill="FCE4D6"/>
            <w:noWrap/>
            <w:vAlign w:val="center"/>
            <w:hideMark/>
          </w:tcPr>
          <w:p w:rsidR="00EB36F6" w:rsidRPr="00DB24BD" w:rsidRDefault="00EB36F6" w:rsidP="00EB36F6">
            <w:pPr>
              <w:spacing w:after="0" w:line="240" w:lineRule="auto"/>
              <w:rPr>
                <w:rFonts w:eastAsia="Times New Roman" w:cstheme="minorHAnsi"/>
                <w:i/>
                <w:iCs/>
                <w:sz w:val="20"/>
                <w:szCs w:val="20"/>
              </w:rPr>
            </w:pPr>
            <w:r w:rsidRPr="00DB24BD">
              <w:rPr>
                <w:rFonts w:eastAsia="Times New Roman" w:cstheme="minorHAnsi"/>
                <w:i/>
                <w:iCs/>
                <w:sz w:val="20"/>
                <w:szCs w:val="20"/>
              </w:rPr>
              <w:t> </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B36F6" w:rsidRPr="00DB24BD" w:rsidRDefault="00EB36F6" w:rsidP="00EB36F6">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-0,2%</w:t>
            </w:r>
          </w:p>
        </w:tc>
        <w:tc>
          <w:tcPr>
            <w:tcW w:w="519"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color w:val="203764"/>
                <w:sz w:val="20"/>
                <w:szCs w:val="20"/>
              </w:rPr>
            </w:pPr>
            <w:r w:rsidRPr="00DB24BD">
              <w:rPr>
                <w:rFonts w:eastAsia="Times New Roman" w:cstheme="minorHAnsi"/>
                <w:color w:val="203764"/>
                <w:sz w:val="20"/>
                <w:szCs w:val="20"/>
              </w:rPr>
              <w:t>-0,2%</w:t>
            </w:r>
          </w:p>
        </w:tc>
      </w:tr>
      <w:tr w:rsidR="00EB36F6" w:rsidRPr="00DB24BD" w:rsidTr="00870058">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-0,7%</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-0,3%</w:t>
            </w:r>
          </w:p>
        </w:tc>
        <w:tc>
          <w:tcPr>
            <w:tcW w:w="519" w:type="pct"/>
            <w:tcBorders>
              <w:top w:val="nil"/>
              <w:left w:val="nil"/>
              <w:bottom w:val="single" w:sz="4" w:space="0" w:color="auto"/>
              <w:right w:val="single" w:sz="4" w:space="0" w:color="auto"/>
            </w:tcBorders>
            <w:shd w:val="clear" w:color="auto" w:fill="auto"/>
            <w:noWrap/>
            <w:vAlign w:val="center"/>
            <w:hideMark/>
          </w:tcPr>
          <w:p w:rsidR="00EB36F6" w:rsidRPr="00DB24BD" w:rsidRDefault="00EB36F6" w:rsidP="00EB36F6">
            <w:pPr>
              <w:spacing w:after="0" w:line="240" w:lineRule="auto"/>
              <w:jc w:val="center"/>
              <w:rPr>
                <w:rFonts w:eastAsia="Times New Roman" w:cstheme="minorHAnsi"/>
                <w:i/>
                <w:iCs/>
                <w:sz w:val="20"/>
                <w:szCs w:val="20"/>
              </w:rPr>
            </w:pPr>
            <w:r w:rsidRPr="00DB24BD">
              <w:rPr>
                <w:rFonts w:eastAsia="Times New Roman" w:cstheme="minorHAnsi"/>
                <w:i/>
                <w:iCs/>
                <w:sz w:val="20"/>
                <w:szCs w:val="20"/>
              </w:rPr>
              <w:t>-0,3%</w:t>
            </w:r>
          </w:p>
        </w:tc>
      </w:tr>
    </w:tbl>
    <w:p w:rsidR="00A229BF" w:rsidRPr="00DB24BD" w:rsidRDefault="00A229BF" w:rsidP="00A229BF">
      <w:pPr>
        <w:spacing w:line="276" w:lineRule="auto"/>
        <w:rPr>
          <w:rFonts w:cstheme="minorHAnsi"/>
          <w:b/>
          <w:i/>
          <w:sz w:val="24"/>
          <w:szCs w:val="24"/>
          <w:u w:val="single"/>
          <w:lang w:val="ka-GE"/>
        </w:rPr>
      </w:pPr>
    </w:p>
    <w:p w:rsidR="0064273E" w:rsidRPr="00DB24BD" w:rsidRDefault="0064273E" w:rsidP="0064273E">
      <w:pPr>
        <w:spacing w:line="276" w:lineRule="auto"/>
        <w:ind w:firstLine="720"/>
        <w:jc w:val="both"/>
        <w:rPr>
          <w:rFonts w:cstheme="minorHAnsi"/>
          <w:sz w:val="24"/>
          <w:szCs w:val="24"/>
        </w:rPr>
      </w:pPr>
      <w:r w:rsidRPr="00DB24BD">
        <w:rPr>
          <w:rFonts w:cstheme="minorHAnsi"/>
          <w:sz w:val="24"/>
          <w:szCs w:val="24"/>
          <w:lang w:val="ka-GE"/>
        </w:rPr>
        <w:t>In 2020 and 2021, foreign debt collection reflects the funds raised to deal with the pandemic.</w:t>
      </w:r>
      <w:r w:rsidRPr="00DB24BD">
        <w:rPr>
          <w:rFonts w:cstheme="minorHAnsi"/>
          <w:sz w:val="24"/>
          <w:szCs w:val="24"/>
        </w:rPr>
        <w:t xml:space="preserve"> However, the decrease in foreign liabilities in 2022 compared to 2021 is related to the fact that, in 2021, a new Eurobond of GEL 1.7 billion was issued to cover the Eurobonds and significant growth of external liabilities for 2021 is coming from the fact. Consequently, this figure is reduced in the following years.</w:t>
      </w:r>
    </w:p>
    <w:p w:rsidR="002F63B9" w:rsidRPr="00DB24BD" w:rsidRDefault="002F63B9" w:rsidP="00AD738A">
      <w:pPr>
        <w:spacing w:line="276" w:lineRule="auto"/>
        <w:ind w:firstLine="720"/>
        <w:jc w:val="both"/>
        <w:rPr>
          <w:rFonts w:cstheme="minorHAnsi"/>
          <w:sz w:val="24"/>
          <w:szCs w:val="24"/>
          <w:lang w:val="ka-GE"/>
        </w:rPr>
      </w:pPr>
      <w:r w:rsidRPr="00DB24BD">
        <w:rPr>
          <w:rFonts w:cstheme="minorHAnsi"/>
          <w:sz w:val="24"/>
          <w:szCs w:val="24"/>
          <w:lang w:val="ka-GE"/>
        </w:rPr>
        <w:t>The table below</w:t>
      </w:r>
      <w:r w:rsidRPr="00DB24BD">
        <w:rPr>
          <w:rFonts w:cstheme="minorHAnsi"/>
          <w:sz w:val="24"/>
          <w:szCs w:val="24"/>
        </w:rPr>
        <w:t xml:space="preserve"> (Table №6)</w:t>
      </w:r>
      <w:r w:rsidRPr="00DB24BD">
        <w:rPr>
          <w:rFonts w:cstheme="minorHAnsi"/>
          <w:sz w:val="24"/>
          <w:szCs w:val="24"/>
          <w:lang w:val="ka-GE"/>
        </w:rPr>
        <w:t xml:space="preserve"> shows the forecast for the liability growth for 2020-2025:</w:t>
      </w:r>
    </w:p>
    <w:p w:rsidR="005E18E6" w:rsidRPr="00DB24BD" w:rsidRDefault="002F63B9"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Theme="minorHAnsi" w:hAnsiTheme="minorHAnsi" w:cstheme="minorHAnsi"/>
          <w:b/>
          <w:bCs/>
          <w:noProof/>
          <w:lang w:val="en-US"/>
        </w:rPr>
      </w:pPr>
      <w:r w:rsidRPr="00DB24BD">
        <w:rPr>
          <w:rFonts w:asciiTheme="minorHAnsi" w:hAnsiTheme="minorHAnsi" w:cstheme="minorHAnsi"/>
          <w:b/>
          <w:bCs/>
          <w:noProof/>
          <w:lang w:val="en-US"/>
        </w:rPr>
        <w:t xml:space="preserve">Table </w:t>
      </w:r>
      <w:r w:rsidR="00C24549" w:rsidRPr="00DB24BD">
        <w:rPr>
          <w:rFonts w:asciiTheme="minorHAnsi" w:hAnsiTheme="minorHAnsi" w:cstheme="minorHAnsi"/>
          <w:b/>
          <w:bCs/>
          <w:noProof/>
          <w:lang w:val="ka-GE"/>
        </w:rPr>
        <w:t>№6</w:t>
      </w:r>
      <w:r w:rsidR="005E18E6" w:rsidRPr="00DB24BD">
        <w:rPr>
          <w:rFonts w:asciiTheme="minorHAnsi" w:hAnsiTheme="minorHAnsi" w:cstheme="minorHAnsi"/>
          <w:b/>
          <w:bCs/>
          <w:noProof/>
          <w:lang w:val="ka-GE"/>
        </w:rPr>
        <w:t xml:space="preserve"> - </w:t>
      </w:r>
      <w:r w:rsidRPr="00DB24BD">
        <w:rPr>
          <w:rFonts w:asciiTheme="minorHAnsi" w:hAnsiTheme="minorHAnsi" w:cstheme="minorHAnsi"/>
          <w:b/>
          <w:bCs/>
          <w:noProof/>
          <w:lang w:val="en-US"/>
        </w:rPr>
        <w:t>Liability Gwoth Forecast</w:t>
      </w:r>
    </w:p>
    <w:p w:rsidR="00A229BF" w:rsidRPr="00DB24BD" w:rsidRDefault="00A229BF" w:rsidP="005E18E6">
      <w:pPr>
        <w:spacing w:after="0" w:line="276" w:lineRule="auto"/>
        <w:jc w:val="right"/>
        <w:rPr>
          <w:rFonts w:cstheme="minorHAnsi"/>
          <w:b/>
          <w:i/>
          <w:sz w:val="24"/>
          <w:szCs w:val="24"/>
          <w:u w:val="single"/>
          <w:lang w:val="ka-GE"/>
        </w:rPr>
      </w:pPr>
      <w:r w:rsidRPr="00DB24BD">
        <w:rPr>
          <w:rFonts w:cstheme="minorHAnsi"/>
          <w:b/>
          <w:i/>
          <w:sz w:val="24"/>
          <w:szCs w:val="24"/>
          <w:u w:val="single"/>
        </w:rPr>
        <w:t>(</w:t>
      </w:r>
      <w:r w:rsidR="002F63B9" w:rsidRPr="00DB24BD">
        <w:rPr>
          <w:rFonts w:cstheme="minorHAnsi"/>
          <w:b/>
          <w:i/>
          <w:sz w:val="24"/>
          <w:szCs w:val="24"/>
          <w:u w:val="single"/>
        </w:rPr>
        <w:t>Million GEL</w:t>
      </w:r>
      <w:r w:rsidRPr="00DB24BD">
        <w:rPr>
          <w:rFonts w:cstheme="minorHAnsi"/>
          <w:b/>
          <w:i/>
          <w:sz w:val="24"/>
          <w:szCs w:val="24"/>
          <w:u w:val="single"/>
          <w:lang w:val="ka-GE"/>
        </w:rPr>
        <w:t>)</w:t>
      </w:r>
    </w:p>
    <w:tbl>
      <w:tblPr>
        <w:tblW w:w="5000" w:type="pct"/>
        <w:tblLook w:val="04A0" w:firstRow="1" w:lastRow="0" w:firstColumn="1" w:lastColumn="0" w:noHBand="0" w:noVBand="1"/>
      </w:tblPr>
      <w:tblGrid>
        <w:gridCol w:w="3869"/>
        <w:gridCol w:w="1079"/>
        <w:gridCol w:w="1079"/>
        <w:gridCol w:w="1079"/>
        <w:gridCol w:w="1079"/>
        <w:gridCol w:w="1079"/>
        <w:gridCol w:w="1073"/>
      </w:tblGrid>
      <w:tr w:rsidR="004025F5" w:rsidRPr="00DB24BD" w:rsidTr="0041614E">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25F5" w:rsidRPr="00DB24BD" w:rsidRDefault="0041614E"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Name</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2024</w:t>
            </w:r>
          </w:p>
        </w:tc>
        <w:tc>
          <w:tcPr>
            <w:tcW w:w="519" w:type="pct"/>
            <w:tcBorders>
              <w:top w:val="single" w:sz="4" w:space="0" w:color="auto"/>
              <w:left w:val="nil"/>
              <w:bottom w:val="single" w:sz="4" w:space="0" w:color="auto"/>
              <w:right w:val="single" w:sz="4" w:space="0" w:color="auto"/>
            </w:tcBorders>
            <w:shd w:val="clear" w:color="000000" w:fill="FDE9D9"/>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2025</w:t>
            </w:r>
          </w:p>
        </w:tc>
      </w:tr>
      <w:tr w:rsidR="0041614E" w:rsidRPr="00DB24BD" w:rsidTr="0041614E">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41614E" w:rsidRPr="00DB24BD" w:rsidRDefault="0041614E" w:rsidP="0041614E">
            <w:pPr>
              <w:spacing w:after="0" w:line="240" w:lineRule="auto"/>
              <w:rPr>
                <w:rFonts w:eastAsia="Times New Roman" w:cstheme="minorHAnsi"/>
                <w:b/>
                <w:bCs/>
                <w:sz w:val="20"/>
                <w:szCs w:val="20"/>
              </w:rPr>
            </w:pP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b/>
                <w:bCs/>
                <w:sz w:val="20"/>
                <w:szCs w:val="20"/>
              </w:rPr>
            </w:pPr>
            <w:r w:rsidRPr="00DB24BD">
              <w:rPr>
                <w:rFonts w:eastAsia="Times New Roman" w:cstheme="minorHAnsi"/>
                <w:b/>
                <w:bCs/>
                <w:sz w:val="20"/>
                <w:szCs w:val="20"/>
              </w:rPr>
              <w:t>Fact</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 </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 </w:t>
            </w:r>
          </w:p>
        </w:tc>
      </w:tr>
      <w:tr w:rsidR="0041614E"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Liability growth</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7 175,0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3 145,0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3 675,0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4 140,0</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7 274,4</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5 094,0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3 965,0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3 485,0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3 485,0</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99,4</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-185,0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820,0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-190,0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-655,0</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6 332,4</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2 236,0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3 103,0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2 225,0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2 065,0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2 004,0</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-941,9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-2 858,0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-862,0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-1 260,0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-1 420,0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-1 481,0</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ind w:firstLineChars="300" w:firstLine="600"/>
              <w:rPr>
                <w:rFonts w:eastAsia="Times New Roman" w:cstheme="minorHAnsi"/>
                <w:b/>
                <w:bCs/>
                <w:sz w:val="20"/>
                <w:szCs w:val="20"/>
              </w:rPr>
            </w:pPr>
            <w:r w:rsidRPr="00DB24BD">
              <w:rPr>
                <w:rFonts w:eastAsia="Times New Roman" w:cstheme="minorHAnsi"/>
                <w:b/>
                <w:bCs/>
                <w:sz w:val="20"/>
                <w:szCs w:val="20"/>
              </w:rPr>
              <w:t>Domestic</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19"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1 850,0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1 000,0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1 200,0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1 500,0</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1 285,0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1 385,0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1 485,0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1 485,0</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160,0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285,0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185,0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-15,0</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1 970,0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-375,0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1 245,0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1 345,0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1 445,0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1 445,0</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-40,0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-195,0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-40,0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-40,0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-40,0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-40,0</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ind w:firstLineChars="300" w:firstLine="600"/>
              <w:rPr>
                <w:rFonts w:eastAsia="Times New Roman" w:cstheme="minorHAnsi"/>
                <w:b/>
                <w:bCs/>
                <w:sz w:val="20"/>
                <w:szCs w:val="20"/>
              </w:rPr>
            </w:pPr>
            <w:r w:rsidRPr="00DB24BD">
              <w:rPr>
                <w:rFonts w:eastAsia="Times New Roman" w:cstheme="minorHAnsi"/>
                <w:b/>
                <w:bCs/>
                <w:sz w:val="20"/>
                <w:szCs w:val="20"/>
              </w:rPr>
              <w:t>External</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c>
          <w:tcPr>
            <w:tcW w:w="519" w:type="pct"/>
            <w:tcBorders>
              <w:top w:val="nil"/>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5 325,0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2 145,0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2 475,0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2 640,0</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5 274,0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2 680,0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2 000,0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2 000,0</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-60,7</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-5,0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535,0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-375,0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-640,0</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4 362,4</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2 611,0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1 858,0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880,0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620,0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559,0</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-901,9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-2 663,0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-822,0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-1 220,0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-1 380,0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-1 441,0</w:t>
            </w:r>
          </w:p>
        </w:tc>
      </w:tr>
      <w:tr w:rsidR="0041614E" w:rsidRPr="00DB24BD" w:rsidTr="004025F5">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b/>
                <w:bCs/>
                <w:sz w:val="20"/>
                <w:szCs w:val="20"/>
              </w:rPr>
            </w:pPr>
            <w:r w:rsidRPr="00DB24BD">
              <w:rPr>
                <w:rFonts w:eastAsia="Times New Roman" w:cstheme="minorHAnsi"/>
                <w:b/>
                <w:bCs/>
                <w:sz w:val="20"/>
                <w:szCs w:val="20"/>
              </w:rPr>
              <w:t>% of GDP</w:t>
            </w:r>
          </w:p>
        </w:tc>
      </w:tr>
      <w:tr w:rsidR="0041614E"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1614E" w:rsidRPr="00DB24BD" w:rsidRDefault="0041614E" w:rsidP="0041614E">
            <w:pPr>
              <w:spacing w:after="0" w:line="240" w:lineRule="auto"/>
              <w:rPr>
                <w:rFonts w:eastAsia="Times New Roman" w:cstheme="minorHAnsi"/>
                <w:b/>
                <w:bCs/>
                <w:sz w:val="20"/>
                <w:szCs w:val="20"/>
              </w:rPr>
            </w:pPr>
            <w:r w:rsidRPr="00DB24BD">
              <w:rPr>
                <w:rFonts w:eastAsia="Times New Roman" w:cstheme="minorHAnsi"/>
                <w:b/>
                <w:bCs/>
                <w:sz w:val="20"/>
                <w:szCs w:val="20"/>
              </w:rPr>
              <w:t>Liability growth</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14,5%</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5,4%</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5,8%</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6,0%</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14,7%</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8,9%</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6,2%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5,0%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4,6%</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4,2%</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0,8%</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-0,8%</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-1,4%</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12,9%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3,8%</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4,8%</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3,2%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2,7%</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2,4%</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-5,1%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-1,5%</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-1,8%</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-1,9%</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-1,8%</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ind w:firstLineChars="300" w:firstLine="600"/>
              <w:rPr>
                <w:rFonts w:eastAsia="Times New Roman" w:cstheme="minorHAnsi"/>
                <w:b/>
                <w:bCs/>
                <w:i/>
                <w:iCs/>
                <w:sz w:val="20"/>
                <w:szCs w:val="20"/>
              </w:rPr>
            </w:pPr>
            <w:r w:rsidRPr="00DB24BD">
              <w:rPr>
                <w:rFonts w:eastAsia="Times New Roman" w:cstheme="minorHAnsi"/>
                <w:b/>
                <w:bCs/>
                <w:i/>
                <w:iCs/>
                <w:sz w:val="20"/>
                <w:szCs w:val="20"/>
              </w:rPr>
              <w:t>Domestic</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3,7%</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1,7%</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2,2%</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0,0</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4,1%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2,0%</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1,8%</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-0,2%</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4,0%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-0,6%</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1,9%</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1,7%</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ind w:firstLineChars="300" w:firstLine="600"/>
              <w:rPr>
                <w:rFonts w:eastAsia="Times New Roman" w:cstheme="minorHAnsi"/>
                <w:b/>
                <w:bCs/>
                <w:i/>
                <w:iCs/>
                <w:sz w:val="20"/>
                <w:szCs w:val="20"/>
                <w:lang w:val="ka-GE"/>
              </w:rPr>
            </w:pPr>
            <w:r w:rsidRPr="00DB24BD">
              <w:rPr>
                <w:rFonts w:eastAsia="Times New Roman" w:cstheme="minorHAnsi"/>
                <w:b/>
                <w:bCs/>
                <w:i/>
                <w:iCs/>
                <w:sz w:val="20"/>
                <w:szCs w:val="20"/>
                <w:lang w:val="ka-GE"/>
              </w:rPr>
              <w:t>External</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b/>
                <w:bCs/>
                <w:i/>
                <w:iCs/>
                <w:sz w:val="20"/>
                <w:szCs w:val="20"/>
              </w:rPr>
            </w:pPr>
            <w:r w:rsidRPr="00DB24BD">
              <w:rPr>
                <w:rFonts w:eastAsia="Times New Roman" w:cstheme="minorHAnsi"/>
                <w:b/>
                <w:bCs/>
                <w:i/>
                <w:i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10,8%</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3,7%</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3,8%</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10,7%</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9,2%</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4,2%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3,0%</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2,6%</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sz w:val="20"/>
                <w:szCs w:val="20"/>
              </w:rPr>
            </w:pPr>
            <w:r w:rsidRPr="00DB24BD">
              <w:rPr>
                <w:rFonts w:eastAsia="Times New Roman" w:cstheme="minorHAnsi"/>
                <w:sz w:val="20"/>
                <w:szCs w:val="20"/>
              </w:rPr>
              <w:t>2,4%</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0,5%</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-0,9%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-1,2%</w:t>
            </w:r>
          </w:p>
        </w:tc>
        <w:tc>
          <w:tcPr>
            <w:tcW w:w="519" w:type="pct"/>
            <w:tcBorders>
              <w:top w:val="nil"/>
              <w:left w:val="nil"/>
              <w:bottom w:val="single" w:sz="4" w:space="0" w:color="auto"/>
              <w:right w:val="single" w:sz="4" w:space="0" w:color="auto"/>
            </w:tcBorders>
            <w:shd w:val="clear" w:color="000000" w:fill="FDE9D9"/>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1614E" w:rsidRPr="00DB24BD" w:rsidRDefault="0041614E" w:rsidP="0041614E">
            <w:pPr>
              <w:spacing w:after="0" w:line="240" w:lineRule="auto"/>
              <w:ind w:firstLineChars="100" w:firstLine="200"/>
              <w:rPr>
                <w:rFonts w:eastAsia="Times New Roman" w:cstheme="minorHAnsi"/>
                <w:color w:val="203764"/>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8,9%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4,5%</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2,9%</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1,2%</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0,8%</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0,7%</w:t>
            </w:r>
          </w:p>
        </w:tc>
      </w:tr>
      <w:tr w:rsidR="0041614E" w:rsidRPr="00DB24BD" w:rsidTr="0041614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-1,8%</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-4,8%</w:t>
            </w:r>
          </w:p>
        </w:tc>
        <w:tc>
          <w:tcPr>
            <w:tcW w:w="522" w:type="pct"/>
            <w:tcBorders>
              <w:top w:val="nil"/>
              <w:left w:val="nil"/>
              <w:bottom w:val="single" w:sz="4" w:space="0" w:color="auto"/>
              <w:right w:val="single" w:sz="4" w:space="0" w:color="auto"/>
            </w:tcBorders>
            <w:shd w:val="clear" w:color="000000" w:fill="FFFFFF"/>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-1,4%</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-1,8%</w:t>
            </w:r>
          </w:p>
        </w:tc>
        <w:tc>
          <w:tcPr>
            <w:tcW w:w="522"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-1,8%</w:t>
            </w:r>
          </w:p>
        </w:tc>
        <w:tc>
          <w:tcPr>
            <w:tcW w:w="519" w:type="pct"/>
            <w:tcBorders>
              <w:top w:val="nil"/>
              <w:left w:val="nil"/>
              <w:bottom w:val="single" w:sz="4" w:space="0" w:color="auto"/>
              <w:right w:val="single" w:sz="4" w:space="0" w:color="auto"/>
            </w:tcBorders>
            <w:shd w:val="clear" w:color="auto" w:fill="auto"/>
            <w:noWrap/>
            <w:vAlign w:val="center"/>
            <w:hideMark/>
          </w:tcPr>
          <w:p w:rsidR="0041614E" w:rsidRPr="00DB24BD" w:rsidRDefault="0041614E" w:rsidP="0041614E">
            <w:pPr>
              <w:spacing w:after="0" w:line="240" w:lineRule="auto"/>
              <w:jc w:val="center"/>
              <w:rPr>
                <w:rFonts w:eastAsia="Times New Roman" w:cstheme="minorHAnsi"/>
                <w:i/>
                <w:iCs/>
                <w:sz w:val="20"/>
                <w:szCs w:val="20"/>
              </w:rPr>
            </w:pPr>
            <w:r w:rsidRPr="00DB24BD">
              <w:rPr>
                <w:rFonts w:eastAsia="Times New Roman" w:cstheme="minorHAnsi"/>
                <w:i/>
                <w:iCs/>
                <w:sz w:val="20"/>
                <w:szCs w:val="20"/>
              </w:rPr>
              <w:t>-1,8%</w:t>
            </w:r>
          </w:p>
        </w:tc>
      </w:tr>
    </w:tbl>
    <w:p w:rsidR="00A229BF" w:rsidRPr="00DB24BD" w:rsidRDefault="00A229BF" w:rsidP="006A057A">
      <w:pPr>
        <w:spacing w:after="0" w:line="276" w:lineRule="auto"/>
        <w:rPr>
          <w:rFonts w:cstheme="minorHAnsi"/>
          <w:b/>
          <w:i/>
          <w:sz w:val="24"/>
          <w:szCs w:val="24"/>
          <w:u w:val="single"/>
          <w:lang w:val="ka-GE"/>
        </w:rPr>
      </w:pPr>
    </w:p>
    <w:p w:rsidR="00A15042" w:rsidRPr="00DB24BD" w:rsidRDefault="00A15042" w:rsidP="00685A5A">
      <w:pPr>
        <w:tabs>
          <w:tab w:val="left" w:pos="90"/>
        </w:tabs>
        <w:spacing w:after="120" w:line="276" w:lineRule="auto"/>
        <w:ind w:firstLine="720"/>
        <w:jc w:val="both"/>
        <w:rPr>
          <w:rFonts w:cstheme="minorHAnsi"/>
          <w:sz w:val="24"/>
          <w:szCs w:val="24"/>
          <w:lang w:val="ka-GE"/>
        </w:rPr>
      </w:pPr>
      <w:r w:rsidRPr="00DB24BD">
        <w:rPr>
          <w:rFonts w:cstheme="minorHAnsi"/>
          <w:sz w:val="24"/>
          <w:szCs w:val="24"/>
          <w:lang w:val="ka-GE"/>
        </w:rPr>
        <w:lastRenderedPageBreak/>
        <w:t>2020-2021 and partly 2022 or the spending side, forecast reflects the necessary resources and expenses related to financing the anti-crisis plan provided by the Georgian government due to the new coronavirus (COVID-19). The medium-term plan for 2022-2025 considers continuing the current programs and sub-programs of different ministries and financing the necessary spending of partial recovery of traditional programs by the government.</w:t>
      </w:r>
    </w:p>
    <w:p w:rsidR="00E45A2E" w:rsidRPr="00DB24BD" w:rsidRDefault="003B3395" w:rsidP="00E45A2E">
      <w:pPr>
        <w:tabs>
          <w:tab w:val="left" w:pos="90"/>
        </w:tabs>
        <w:spacing w:after="120" w:line="276" w:lineRule="auto"/>
        <w:ind w:firstLine="720"/>
        <w:jc w:val="both"/>
        <w:rPr>
          <w:rFonts w:cstheme="minorHAnsi"/>
          <w:sz w:val="24"/>
          <w:szCs w:val="24"/>
        </w:rPr>
      </w:pPr>
      <w:r w:rsidRPr="00DB24BD">
        <w:rPr>
          <w:rFonts w:cstheme="minorHAnsi"/>
          <w:sz w:val="24"/>
          <w:szCs w:val="24"/>
          <w:lang w:val="ka-GE"/>
        </w:rPr>
        <w:t>Consolidated budget expenditures for GDP in 2020 have been maintained at 26.3 percent in the updated forecasts.</w:t>
      </w:r>
      <w:r w:rsidRPr="00DB24BD">
        <w:rPr>
          <w:rFonts w:cstheme="minorHAnsi"/>
          <w:sz w:val="24"/>
          <w:szCs w:val="24"/>
        </w:rPr>
        <w:t xml:space="preserve"> Also, current expenditures in the 2021 bu</w:t>
      </w:r>
      <w:r w:rsidR="00DA2B85" w:rsidRPr="00DB24BD">
        <w:rPr>
          <w:rFonts w:cstheme="minorHAnsi"/>
          <w:sz w:val="24"/>
          <w:szCs w:val="24"/>
        </w:rPr>
        <w:t>dget was</w:t>
      </w:r>
      <w:r w:rsidRPr="00DB24BD">
        <w:rPr>
          <w:rFonts w:cstheme="minorHAnsi"/>
          <w:sz w:val="24"/>
          <w:szCs w:val="24"/>
        </w:rPr>
        <w:t xml:space="preserve"> projected at 25.1 percent, taking into account the increased health and economic support measures related to COVID-19. Funding for pandemic response measures significantly increases current expenditure in 2020-2021 and it was 26.2% of GDP in 2020 and 24.7% in 2021. The total expenditure in 2022 is projected at a total of GEL 14.8 billion</w:t>
      </w:r>
      <w:r w:rsidR="00D91B04" w:rsidRPr="00DB24BD">
        <w:rPr>
          <w:rFonts w:cstheme="minorHAnsi"/>
          <w:sz w:val="24"/>
          <w:szCs w:val="24"/>
        </w:rPr>
        <w:t>, which is 22.8% of GDP. This figure is maintained in the forecasts for the coming years. Expenditures reflect expenditures required for existing pension indexation, education reform, and social programs. Also, the increase of the base salary to GEL 1,100 (increased by GEL 100) is provided.</w:t>
      </w:r>
    </w:p>
    <w:p w:rsidR="00E45A2E" w:rsidRPr="00DB24BD" w:rsidRDefault="00E45A2E" w:rsidP="00E45A2E">
      <w:pPr>
        <w:tabs>
          <w:tab w:val="left" w:pos="90"/>
        </w:tabs>
        <w:spacing w:after="120" w:line="276" w:lineRule="auto"/>
        <w:ind w:firstLine="720"/>
        <w:jc w:val="both"/>
        <w:rPr>
          <w:rFonts w:cstheme="minorHAnsi"/>
          <w:sz w:val="24"/>
          <w:szCs w:val="24"/>
        </w:rPr>
      </w:pPr>
      <w:r w:rsidRPr="00DB24BD">
        <w:rPr>
          <w:rFonts w:cstheme="minorHAnsi"/>
          <w:bCs/>
          <w:noProof/>
          <w:sz w:val="24"/>
          <w:szCs w:val="24"/>
        </w:rPr>
        <w:t>Despite the pandemic, the amount of capital expenditures did not decrease in 2020-2021 (sum of growth of non-financial assets and growth of financial assets) and it was 9.0% of GDP in 2020 and 8.3% in 2021. In the updated forecasts, the volume of capital expenditures in nominal terms will increase significantly in 2022 and will amount to GEL 5.9 billion, which is due to the entry into the active phase of the East-West Expressway and other major infrastructure projects. In particular, in 2022, compared to 2021, capital expenditures (increase in non-financial assets) increased by 1.6 billion GEL compared to the December 2020 forecast. In the coming years, as a result of fiscal consolidation, capital expenditures will be reduced to below 7% of GDP, which is a rather large reduction and it will be necessary to find additional non-deficit resources.</w:t>
      </w:r>
    </w:p>
    <w:p w:rsidR="00E45A2E" w:rsidRPr="00DB24BD" w:rsidRDefault="00E45A2E" w:rsidP="00685A5A">
      <w:pPr>
        <w:spacing w:after="0" w:line="276" w:lineRule="auto"/>
        <w:ind w:firstLine="720"/>
        <w:jc w:val="both"/>
        <w:rPr>
          <w:rFonts w:cstheme="minorHAnsi"/>
          <w:bCs/>
          <w:noProof/>
          <w:sz w:val="24"/>
          <w:szCs w:val="24"/>
        </w:rPr>
      </w:pPr>
    </w:p>
    <w:p w:rsidR="00E45A2E" w:rsidRPr="00DB24BD" w:rsidRDefault="00E45A2E" w:rsidP="00685A5A">
      <w:pPr>
        <w:spacing w:after="0" w:line="276" w:lineRule="auto"/>
        <w:ind w:firstLine="720"/>
        <w:jc w:val="both"/>
        <w:rPr>
          <w:rFonts w:cstheme="minorHAnsi"/>
          <w:sz w:val="24"/>
          <w:szCs w:val="24"/>
          <w:lang w:val="ka-GE"/>
        </w:rPr>
      </w:pPr>
      <w:r w:rsidRPr="00DB24BD">
        <w:rPr>
          <w:rFonts w:cstheme="minorHAnsi"/>
          <w:sz w:val="24"/>
          <w:szCs w:val="24"/>
          <w:lang w:val="ka-GE"/>
        </w:rPr>
        <w:t xml:space="preserve">The table below </w:t>
      </w:r>
      <w:r w:rsidRPr="00DB24BD">
        <w:rPr>
          <w:rFonts w:cstheme="minorHAnsi"/>
          <w:sz w:val="24"/>
          <w:szCs w:val="24"/>
        </w:rPr>
        <w:t xml:space="preserve">(Table №7) </w:t>
      </w:r>
      <w:r w:rsidRPr="00DB24BD">
        <w:rPr>
          <w:rFonts w:cstheme="minorHAnsi"/>
          <w:sz w:val="24"/>
          <w:szCs w:val="24"/>
          <w:lang w:val="ka-GE"/>
        </w:rPr>
        <w:t>shows the forecast for the current and c</w:t>
      </w:r>
      <w:r w:rsidR="00765F91">
        <w:rPr>
          <w:rFonts w:cstheme="minorHAnsi"/>
          <w:sz w:val="24"/>
          <w:szCs w:val="24"/>
          <w:lang w:val="ka-GE"/>
        </w:rPr>
        <w:t>apital spending during 2020-2025</w:t>
      </w:r>
      <w:r w:rsidRPr="00DB24BD">
        <w:rPr>
          <w:rFonts w:cstheme="minorHAnsi"/>
          <w:sz w:val="24"/>
          <w:szCs w:val="24"/>
          <w:lang w:val="ka-GE"/>
        </w:rPr>
        <w:t>:</w:t>
      </w:r>
    </w:p>
    <w:p w:rsidR="00252F52" w:rsidRPr="00DB24BD" w:rsidRDefault="00252F52"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Theme="minorHAnsi" w:hAnsiTheme="minorHAnsi" w:cstheme="minorHAnsi"/>
          <w:b/>
          <w:bCs/>
          <w:noProof/>
          <w:lang w:val="ka-GE"/>
        </w:rPr>
      </w:pPr>
    </w:p>
    <w:p w:rsidR="005E18E6" w:rsidRPr="00DB24BD" w:rsidRDefault="00E45A2E"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Theme="minorHAnsi" w:hAnsiTheme="minorHAnsi" w:cstheme="minorHAnsi"/>
          <w:b/>
          <w:bCs/>
          <w:noProof/>
          <w:lang w:val="en-US"/>
        </w:rPr>
      </w:pPr>
      <w:r w:rsidRPr="00DB24BD">
        <w:rPr>
          <w:rFonts w:asciiTheme="minorHAnsi" w:hAnsiTheme="minorHAnsi" w:cstheme="minorHAnsi"/>
          <w:b/>
          <w:bCs/>
          <w:noProof/>
          <w:lang w:val="ka-GE"/>
        </w:rPr>
        <w:t>Table №7</w:t>
      </w:r>
      <w:r w:rsidR="005E18E6" w:rsidRPr="00DB24BD">
        <w:rPr>
          <w:rFonts w:asciiTheme="minorHAnsi" w:hAnsiTheme="minorHAnsi" w:cstheme="minorHAnsi"/>
          <w:b/>
          <w:bCs/>
          <w:noProof/>
          <w:lang w:val="ka-GE"/>
        </w:rPr>
        <w:t xml:space="preserve">- </w:t>
      </w:r>
      <w:r w:rsidRPr="00DB24BD">
        <w:rPr>
          <w:rFonts w:asciiTheme="minorHAnsi" w:hAnsiTheme="minorHAnsi" w:cstheme="minorHAnsi"/>
          <w:b/>
          <w:bCs/>
          <w:noProof/>
          <w:lang w:val="ka-GE"/>
        </w:rPr>
        <w:t>Current and Capital Spending Forecast</w:t>
      </w:r>
    </w:p>
    <w:p w:rsidR="00AD738A" w:rsidRPr="00DB24BD" w:rsidRDefault="00E45A2E" w:rsidP="00044987">
      <w:pPr>
        <w:spacing w:after="0" w:line="276" w:lineRule="auto"/>
        <w:jc w:val="right"/>
        <w:rPr>
          <w:rFonts w:cstheme="minorHAnsi"/>
          <w:b/>
          <w:i/>
          <w:sz w:val="24"/>
          <w:szCs w:val="24"/>
          <w:lang w:val="ka-GE"/>
        </w:rPr>
      </w:pPr>
      <w:r w:rsidRPr="00DB24BD">
        <w:rPr>
          <w:rFonts w:cstheme="minorHAnsi"/>
          <w:b/>
          <w:i/>
          <w:sz w:val="24"/>
          <w:szCs w:val="24"/>
          <w:lang w:val="ka-GE"/>
        </w:rPr>
        <w:t>Million GEL</w:t>
      </w:r>
    </w:p>
    <w:tbl>
      <w:tblPr>
        <w:tblW w:w="5000" w:type="pct"/>
        <w:tblLook w:val="04A0" w:firstRow="1" w:lastRow="0" w:firstColumn="1" w:lastColumn="0" w:noHBand="0" w:noVBand="1"/>
      </w:tblPr>
      <w:tblGrid>
        <w:gridCol w:w="3869"/>
        <w:gridCol w:w="1079"/>
        <w:gridCol w:w="1079"/>
        <w:gridCol w:w="1079"/>
        <w:gridCol w:w="1079"/>
        <w:gridCol w:w="1079"/>
        <w:gridCol w:w="1073"/>
      </w:tblGrid>
      <w:tr w:rsidR="004025F5" w:rsidRPr="00DB24BD" w:rsidTr="00E45A2E">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5F5" w:rsidRPr="00DB24BD" w:rsidRDefault="00E45A2E"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Name</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2024</w:t>
            </w:r>
          </w:p>
        </w:tc>
        <w:tc>
          <w:tcPr>
            <w:tcW w:w="519" w:type="pct"/>
            <w:tcBorders>
              <w:top w:val="single" w:sz="4" w:space="0" w:color="auto"/>
              <w:left w:val="nil"/>
              <w:bottom w:val="single" w:sz="4" w:space="0" w:color="auto"/>
              <w:right w:val="single" w:sz="4" w:space="0" w:color="auto"/>
            </w:tcBorders>
            <w:shd w:val="clear" w:color="000000" w:fill="FDE9D9"/>
            <w:noWrap/>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2025</w:t>
            </w:r>
          </w:p>
        </w:tc>
      </w:tr>
      <w:tr w:rsidR="00E45A2E" w:rsidRPr="00DB24BD" w:rsidTr="00E45A2E">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E45A2E" w:rsidRPr="00DB24BD" w:rsidRDefault="00E45A2E" w:rsidP="00E45A2E">
            <w:pPr>
              <w:spacing w:after="0" w:line="240" w:lineRule="auto"/>
              <w:rPr>
                <w:rFonts w:eastAsia="Times New Roman" w:cstheme="minorHAnsi"/>
                <w:b/>
                <w:bCs/>
                <w:sz w:val="20"/>
                <w:szCs w:val="20"/>
              </w:rPr>
            </w:pP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b/>
                <w:bCs/>
                <w:sz w:val="20"/>
                <w:szCs w:val="20"/>
              </w:rPr>
            </w:pPr>
            <w:r w:rsidRPr="00DB24BD">
              <w:rPr>
                <w:rFonts w:eastAsia="Times New Roman" w:cstheme="minorHAnsi"/>
                <w:b/>
                <w:bCs/>
                <w:sz w:val="20"/>
                <w:szCs w:val="20"/>
              </w:rPr>
              <w:t>Fact</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b/>
                <w:bCs/>
                <w:sz w:val="20"/>
                <w:szCs w:val="20"/>
              </w:rPr>
            </w:pPr>
            <w:r w:rsidRPr="00DB24BD">
              <w:rPr>
                <w:rFonts w:eastAsia="Times New Roman" w:cstheme="minorHAnsi"/>
                <w:b/>
                <w:bCs/>
                <w:sz w:val="20"/>
                <w:szCs w:val="20"/>
              </w:rPr>
              <w:t>Forecast</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E45A2E" w:rsidP="00E45A2E">
            <w:pPr>
              <w:spacing w:after="0" w:line="240" w:lineRule="auto"/>
              <w:rPr>
                <w:rFonts w:eastAsia="Times New Roman" w:cstheme="minorHAnsi"/>
                <w:b/>
                <w:bCs/>
                <w:sz w:val="20"/>
                <w:szCs w:val="20"/>
              </w:rPr>
            </w:pPr>
            <w:r w:rsidRPr="00DB24BD">
              <w:rPr>
                <w:rFonts w:eastAsia="Times New Roman" w:cstheme="minorHAnsi"/>
                <w:b/>
                <w:bCs/>
                <w:sz w:val="20"/>
                <w:szCs w:val="20"/>
              </w:rPr>
              <w:t xml:space="preserve"> Expenditures</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12 921,0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13 407,0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13 518,0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14 434,0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15 243,0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14 419,0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14 626,0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15 468,0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16 427,0</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17 551,0</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38,6</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1 012,0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1 108,0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1 034,0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1 184,0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color w:val="305496"/>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14 688,0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14 753,0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15 768,0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16 887,0</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18 071,0</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269,0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127,0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300,0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460,0</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520,0</w:t>
            </w:r>
          </w:p>
        </w:tc>
      </w:tr>
      <w:tr w:rsidR="004025F5" w:rsidRPr="00DB24BD" w:rsidTr="00E45A2E">
        <w:trPr>
          <w:trHeight w:val="113"/>
        </w:trPr>
        <w:tc>
          <w:tcPr>
            <w:tcW w:w="448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c>
          <w:tcPr>
            <w:tcW w:w="519" w:type="pct"/>
            <w:tcBorders>
              <w:top w:val="nil"/>
              <w:left w:val="nil"/>
              <w:bottom w:val="single" w:sz="4" w:space="0" w:color="auto"/>
              <w:right w:val="single" w:sz="4" w:space="0" w:color="auto"/>
            </w:tcBorders>
            <w:shd w:val="clear" w:color="auto" w:fill="auto"/>
            <w:noWrap/>
            <w:vAlign w:val="bottom"/>
            <w:hideMark/>
          </w:tcPr>
          <w:p w:rsidR="004025F5" w:rsidRPr="00DB24BD" w:rsidRDefault="004025F5" w:rsidP="004025F5">
            <w:pPr>
              <w:spacing w:after="0" w:line="240" w:lineRule="auto"/>
              <w:rPr>
                <w:rFonts w:eastAsia="Times New Roman" w:cstheme="minorHAnsi"/>
                <w:sz w:val="20"/>
                <w:szCs w:val="20"/>
              </w:rPr>
            </w:pPr>
            <w:r w:rsidRPr="00DB24BD">
              <w:rPr>
                <w:rFonts w:eastAsia="Times New Roman" w:cstheme="minorHAnsi"/>
                <w:sz w:val="20"/>
                <w:szCs w:val="20"/>
              </w:rPr>
              <w:t> </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E45A2E" w:rsidP="004025F5">
            <w:pPr>
              <w:spacing w:after="0" w:line="240" w:lineRule="auto"/>
              <w:rPr>
                <w:rFonts w:eastAsia="Times New Roman" w:cstheme="minorHAnsi"/>
                <w:b/>
                <w:bCs/>
                <w:sz w:val="20"/>
                <w:szCs w:val="20"/>
              </w:rPr>
            </w:pPr>
            <w:r w:rsidRPr="00DB24BD">
              <w:rPr>
                <w:rFonts w:eastAsia="Times New Roman" w:cstheme="minorHAnsi"/>
                <w:b/>
                <w:bCs/>
                <w:sz w:val="20"/>
                <w:szCs w:val="20"/>
              </w:rPr>
              <w:t>Capital Expenditures</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E45A2E" w:rsidP="004025F5">
            <w:pPr>
              <w:spacing w:after="0" w:line="240" w:lineRule="auto"/>
              <w:rPr>
                <w:rFonts w:eastAsia="Times New Roman" w:cstheme="minorHAnsi"/>
                <w:b/>
                <w:bCs/>
                <w:sz w:val="20"/>
                <w:szCs w:val="20"/>
              </w:rPr>
            </w:pPr>
            <w:r w:rsidRPr="00DB24BD">
              <w:rPr>
                <w:rFonts w:eastAsia="Times New Roman" w:cstheme="minorHAnsi"/>
                <w:b/>
                <w:bCs/>
                <w:sz w:val="20"/>
                <w:szCs w:val="20"/>
              </w:rPr>
              <w:t>Increase in Non-Financial Assets</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4 055,0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4 236,0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4 100,0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3 960,0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4 480,0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4 620,0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4 775,0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4 792,0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5 267,0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5 727,0</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174,4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384,0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675,0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832,0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787,0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color w:val="305496"/>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4 688,0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5 679,0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4 669,0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5 024,0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5 374,0</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68,0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904,0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-123,0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-243,0</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-353,0</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E45A2E" w:rsidP="004025F5">
            <w:pPr>
              <w:spacing w:after="0" w:line="240" w:lineRule="auto"/>
              <w:rPr>
                <w:rFonts w:eastAsia="Times New Roman" w:cstheme="minorHAnsi"/>
                <w:b/>
                <w:bCs/>
                <w:sz w:val="20"/>
                <w:szCs w:val="20"/>
              </w:rPr>
            </w:pPr>
            <w:r w:rsidRPr="00DB24BD">
              <w:rPr>
                <w:rFonts w:eastAsia="Times New Roman" w:cstheme="minorHAnsi"/>
                <w:b/>
                <w:bCs/>
                <w:sz w:val="20"/>
                <w:szCs w:val="20"/>
              </w:rPr>
              <w:lastRenderedPageBreak/>
              <w:t>Increase in Financial Assets</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190,0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241,0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204,0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155,0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250,0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250,0</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14,0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-86,0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color w:val="305496"/>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204,0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155,0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205,0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250,0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250,0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250,0</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-45,0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r>
      <w:tr w:rsidR="004025F5" w:rsidRPr="00DB24BD" w:rsidTr="00E45A2E">
        <w:trPr>
          <w:trHeight w:val="113"/>
        </w:trPr>
        <w:tc>
          <w:tcPr>
            <w:tcW w:w="448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c>
          <w:tcPr>
            <w:tcW w:w="519" w:type="pct"/>
            <w:tcBorders>
              <w:top w:val="nil"/>
              <w:left w:val="nil"/>
              <w:bottom w:val="single" w:sz="4" w:space="0" w:color="auto"/>
              <w:right w:val="single" w:sz="4" w:space="0" w:color="auto"/>
            </w:tcBorders>
            <w:shd w:val="clear" w:color="auto" w:fill="auto"/>
            <w:noWrap/>
            <w:vAlign w:val="bottom"/>
            <w:hideMark/>
          </w:tcPr>
          <w:p w:rsidR="004025F5" w:rsidRPr="00DB24BD" w:rsidRDefault="004025F5" w:rsidP="004025F5">
            <w:pPr>
              <w:spacing w:after="0" w:line="240" w:lineRule="auto"/>
              <w:rPr>
                <w:rFonts w:eastAsia="Times New Roman" w:cstheme="minorHAnsi"/>
                <w:sz w:val="20"/>
                <w:szCs w:val="20"/>
              </w:rPr>
            </w:pPr>
            <w:r w:rsidRPr="00DB24BD">
              <w:rPr>
                <w:rFonts w:eastAsia="Times New Roman" w:cstheme="minorHAnsi"/>
                <w:sz w:val="20"/>
                <w:szCs w:val="20"/>
              </w:rPr>
              <w:t> </w:t>
            </w:r>
          </w:p>
        </w:tc>
      </w:tr>
      <w:tr w:rsidR="004025F5" w:rsidRPr="00DB24BD" w:rsidTr="004025F5">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025F5" w:rsidRPr="00DB24BD" w:rsidRDefault="00E45A2E"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 of GDP</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E45A2E" w:rsidP="004025F5">
            <w:pPr>
              <w:spacing w:after="0" w:line="240" w:lineRule="auto"/>
              <w:rPr>
                <w:rFonts w:eastAsia="Times New Roman" w:cstheme="minorHAnsi"/>
                <w:b/>
                <w:bCs/>
                <w:sz w:val="20"/>
                <w:szCs w:val="20"/>
              </w:rPr>
            </w:pPr>
            <w:r w:rsidRPr="00DB24BD">
              <w:rPr>
                <w:rFonts w:eastAsia="Times New Roman" w:cstheme="minorHAnsi"/>
                <w:b/>
                <w:bCs/>
                <w:sz w:val="20"/>
                <w:szCs w:val="20"/>
              </w:rPr>
              <w:t>Expenditures</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26,2%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25,1%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23,2%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22,8%</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22,2%</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26,2%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25,2%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23,0%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22,1%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21,6%</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21%</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-0,7%</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-0,6%</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color w:val="305496"/>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26,3%</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25,1%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22,8%</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22,4%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22,1%</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21,8%</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0,5%</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0,4%</w:t>
            </w:r>
          </w:p>
        </w:tc>
      </w:tr>
      <w:tr w:rsidR="004025F5" w:rsidRPr="00DB24BD" w:rsidTr="004025F5">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E45A2E" w:rsidP="004025F5">
            <w:pPr>
              <w:spacing w:after="0" w:line="240" w:lineRule="auto"/>
              <w:rPr>
                <w:rFonts w:eastAsia="Times New Roman" w:cstheme="minorHAnsi"/>
                <w:b/>
                <w:bCs/>
                <w:sz w:val="20"/>
                <w:szCs w:val="20"/>
              </w:rPr>
            </w:pPr>
            <w:r w:rsidRPr="00DB24BD">
              <w:rPr>
                <w:rFonts w:eastAsia="Times New Roman" w:cstheme="minorHAnsi"/>
                <w:b/>
                <w:bCs/>
                <w:sz w:val="20"/>
                <w:szCs w:val="20"/>
              </w:rPr>
              <w:t>Capital Expenditures</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E45A2E" w:rsidP="004025F5">
            <w:pPr>
              <w:spacing w:after="0" w:line="240" w:lineRule="auto"/>
              <w:rPr>
                <w:rFonts w:eastAsia="Times New Roman" w:cstheme="minorHAnsi"/>
                <w:b/>
                <w:bCs/>
                <w:sz w:val="20"/>
                <w:szCs w:val="20"/>
              </w:rPr>
            </w:pPr>
            <w:r w:rsidRPr="00DB24BD">
              <w:rPr>
                <w:rFonts w:eastAsia="Times New Roman" w:cstheme="minorHAnsi"/>
                <w:b/>
                <w:bCs/>
                <w:sz w:val="20"/>
                <w:szCs w:val="20"/>
              </w:rPr>
              <w:t>Increase in Non-Financial Assets</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8,2%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7,9%</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7,0%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6,3%</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6,5%</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8,6%</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8,1%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7,5%</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6,9%</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6,9%</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7%</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0,5%</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0,6%</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color w:val="305496"/>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8,6%</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8,0%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8,8%</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6,6%</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6,5%</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1,2%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-0,4%</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-0,5%</w:t>
            </w:r>
          </w:p>
        </w:tc>
      </w:tr>
      <w:tr w:rsidR="004025F5" w:rsidRPr="00DB24BD" w:rsidTr="004025F5">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025F5" w:rsidRPr="00DB24BD" w:rsidRDefault="004025F5" w:rsidP="004025F5">
            <w:pPr>
              <w:spacing w:after="0" w:line="240" w:lineRule="auto"/>
              <w:jc w:val="center"/>
              <w:rPr>
                <w:rFonts w:eastAsia="Times New Roman" w:cstheme="minorHAnsi"/>
                <w:b/>
                <w:bCs/>
                <w:sz w:val="20"/>
                <w:szCs w:val="20"/>
              </w:rPr>
            </w:pPr>
            <w:r w:rsidRPr="00DB24BD">
              <w:rPr>
                <w:rFonts w:eastAsia="Times New Roman" w:cstheme="minorHAnsi"/>
                <w:b/>
                <w:bCs/>
                <w:sz w:val="20"/>
                <w:szCs w:val="20"/>
              </w:rPr>
              <w:t> </w:t>
            </w:r>
          </w:p>
        </w:tc>
      </w:tr>
      <w:tr w:rsidR="004025F5" w:rsidRPr="00DB24BD" w:rsidTr="004025F5">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4025F5" w:rsidRPr="00DB24BD" w:rsidRDefault="00E45A2E" w:rsidP="004025F5">
            <w:pPr>
              <w:spacing w:after="0" w:line="240" w:lineRule="auto"/>
              <w:rPr>
                <w:rFonts w:eastAsia="Times New Roman" w:cstheme="minorHAnsi"/>
                <w:b/>
                <w:bCs/>
                <w:sz w:val="20"/>
                <w:szCs w:val="20"/>
              </w:rPr>
            </w:pPr>
            <w:r w:rsidRPr="00DB24BD">
              <w:rPr>
                <w:rFonts w:eastAsia="Times New Roman" w:cstheme="minorHAnsi"/>
                <w:b/>
                <w:bCs/>
                <w:sz w:val="20"/>
                <w:szCs w:val="20"/>
              </w:rPr>
              <w:t>Increase in Financial Assets</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4025F5" w:rsidRPr="00DB24BD" w:rsidRDefault="004025F5" w:rsidP="004025F5">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2021-2024 Forecast (December 2020)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0,5%</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sz w:val="20"/>
                <w:szCs w:val="20"/>
              </w:rPr>
              <w:t>2022-2025 Forecast (July 2021)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0,3%</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0,3%</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0,0%</w:t>
            </w:r>
          </w:p>
        </w:tc>
        <w:tc>
          <w:tcPr>
            <w:tcW w:w="519" w:type="pct"/>
            <w:tcBorders>
              <w:top w:val="nil"/>
              <w:left w:val="nil"/>
              <w:bottom w:val="single" w:sz="4" w:space="0" w:color="auto"/>
              <w:right w:val="single" w:sz="4" w:space="0" w:color="auto"/>
            </w:tcBorders>
            <w:shd w:val="clear" w:color="000000" w:fill="FDE9D9"/>
            <w:noWrap/>
            <w:vAlign w:val="center"/>
            <w:hideMark/>
          </w:tcPr>
          <w:p w:rsidR="00E45A2E" w:rsidRPr="00DB24BD" w:rsidRDefault="00E45A2E" w:rsidP="00E45A2E">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45A2E" w:rsidRPr="00DB24BD" w:rsidRDefault="00E45A2E" w:rsidP="00E45A2E">
            <w:pPr>
              <w:spacing w:after="0" w:line="240" w:lineRule="auto"/>
              <w:ind w:firstLineChars="100" w:firstLine="200"/>
              <w:rPr>
                <w:rFonts w:eastAsia="Times New Roman" w:cstheme="minorHAnsi"/>
                <w:color w:val="305496"/>
                <w:sz w:val="20"/>
                <w:szCs w:val="20"/>
              </w:rPr>
            </w:pPr>
            <w:r w:rsidRPr="00DB24BD">
              <w:rPr>
                <w:rFonts w:eastAsia="Times New Roman" w:cstheme="minorHAnsi"/>
                <w:color w:val="203764"/>
                <w:sz w:val="20"/>
                <w:szCs w:val="20"/>
              </w:rPr>
              <w:t>2022-2025 Forecast (</w:t>
            </w:r>
            <w:r w:rsidR="00765F91">
              <w:rPr>
                <w:rFonts w:eastAsia="Times New Roman" w:cstheme="minorHAnsi"/>
                <w:color w:val="203764"/>
                <w:sz w:val="20"/>
                <w:szCs w:val="20"/>
              </w:rPr>
              <w:t>Draft Budget</w:t>
            </w:r>
            <w:r w:rsidRPr="00DB24BD">
              <w:rPr>
                <w:rFonts w:eastAsia="Times New Roman" w:cstheme="minorHAnsi"/>
                <w:color w:val="203764"/>
                <w:sz w:val="20"/>
                <w:szCs w:val="20"/>
              </w:rPr>
              <w:t>2022)</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0,3%</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color w:val="305496"/>
                <w:sz w:val="20"/>
                <w:szCs w:val="20"/>
              </w:rPr>
            </w:pPr>
            <w:r w:rsidRPr="00DB24BD">
              <w:rPr>
                <w:rFonts w:eastAsia="Times New Roman" w:cstheme="minorHAnsi"/>
                <w:color w:val="305496"/>
                <w:sz w:val="20"/>
                <w:szCs w:val="20"/>
              </w:rPr>
              <w:t>0,3%</w:t>
            </w:r>
          </w:p>
        </w:tc>
      </w:tr>
      <w:tr w:rsidR="00E45A2E" w:rsidRPr="00DB24BD" w:rsidTr="00E45A2E">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ind w:firstLineChars="100" w:firstLine="200"/>
              <w:rPr>
                <w:rFonts w:eastAsia="Times New Roman" w:cstheme="minorHAnsi"/>
                <w:i/>
                <w:iCs/>
                <w:sz w:val="20"/>
                <w:szCs w:val="20"/>
              </w:rPr>
            </w:pPr>
            <w:r w:rsidRPr="00DB24BD">
              <w:rPr>
                <w:rFonts w:eastAsia="Times New Roman" w:cstheme="minorHAnsi"/>
                <w:i/>
                <w:iCs/>
                <w:sz w:val="20"/>
                <w:szCs w:val="20"/>
              </w:rPr>
              <w:t>Difference</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c>
          <w:tcPr>
            <w:tcW w:w="519" w:type="pct"/>
            <w:tcBorders>
              <w:top w:val="nil"/>
              <w:left w:val="nil"/>
              <w:bottom w:val="single" w:sz="4" w:space="0" w:color="auto"/>
              <w:right w:val="single" w:sz="4" w:space="0" w:color="auto"/>
            </w:tcBorders>
            <w:shd w:val="clear" w:color="auto" w:fill="auto"/>
            <w:noWrap/>
            <w:vAlign w:val="center"/>
            <w:hideMark/>
          </w:tcPr>
          <w:p w:rsidR="00E45A2E" w:rsidRPr="00DB24BD" w:rsidRDefault="00E45A2E" w:rsidP="00E45A2E">
            <w:pPr>
              <w:spacing w:after="0" w:line="240" w:lineRule="auto"/>
              <w:jc w:val="center"/>
              <w:rPr>
                <w:rFonts w:eastAsia="Times New Roman" w:cstheme="minorHAnsi"/>
                <w:i/>
                <w:iCs/>
                <w:sz w:val="20"/>
                <w:szCs w:val="20"/>
              </w:rPr>
            </w:pPr>
            <w:r w:rsidRPr="00DB24BD">
              <w:rPr>
                <w:rFonts w:eastAsia="Times New Roman" w:cstheme="minorHAnsi"/>
                <w:i/>
                <w:iCs/>
                <w:sz w:val="20"/>
                <w:szCs w:val="20"/>
              </w:rPr>
              <w:t>0,0%</w:t>
            </w:r>
          </w:p>
        </w:tc>
      </w:tr>
    </w:tbl>
    <w:p w:rsidR="00A229BF" w:rsidRPr="00DB24BD" w:rsidRDefault="00A229BF" w:rsidP="00A229BF">
      <w:pPr>
        <w:spacing w:after="0" w:line="276" w:lineRule="auto"/>
        <w:rPr>
          <w:rFonts w:cstheme="minorHAnsi"/>
          <w:b/>
          <w:i/>
          <w:sz w:val="24"/>
          <w:szCs w:val="24"/>
          <w:lang w:val="ka-GE"/>
        </w:rPr>
      </w:pPr>
    </w:p>
    <w:p w:rsidR="00A229BF" w:rsidRPr="00DB24BD" w:rsidRDefault="00A229BF" w:rsidP="00044987">
      <w:pPr>
        <w:spacing w:after="0" w:line="276" w:lineRule="auto"/>
        <w:jc w:val="right"/>
        <w:rPr>
          <w:rFonts w:cstheme="minorHAnsi"/>
          <w:b/>
          <w:i/>
          <w:sz w:val="24"/>
          <w:szCs w:val="24"/>
          <w:lang w:val="ka-GE"/>
        </w:rPr>
      </w:pPr>
    </w:p>
    <w:p w:rsidR="00606701" w:rsidRPr="00DB24BD" w:rsidRDefault="0067395F" w:rsidP="00E45A2E">
      <w:pPr>
        <w:pStyle w:val="Heading2"/>
        <w:ind w:left="426"/>
        <w:jc w:val="both"/>
        <w:rPr>
          <w:rFonts w:asciiTheme="minorHAnsi" w:hAnsiTheme="minorHAnsi" w:cstheme="minorHAnsi"/>
          <w:sz w:val="24"/>
          <w:szCs w:val="24"/>
          <w:lang w:val="ka-GE"/>
        </w:rPr>
      </w:pPr>
      <w:bookmarkStart w:id="9" w:name="_Toc104550021"/>
      <w:r w:rsidRPr="00DB24BD">
        <w:rPr>
          <w:rFonts w:asciiTheme="minorHAnsi" w:hAnsiTheme="minorHAnsi" w:cstheme="minorHAnsi"/>
          <w:sz w:val="24"/>
          <w:szCs w:val="24"/>
          <w:lang w:val="ka-GE"/>
        </w:rPr>
        <w:t xml:space="preserve">2.2 </w:t>
      </w:r>
      <w:r w:rsidR="00E45A2E" w:rsidRPr="00DB24BD">
        <w:rPr>
          <w:rFonts w:asciiTheme="minorHAnsi" w:hAnsiTheme="minorHAnsi" w:cstheme="minorHAnsi"/>
          <w:sz w:val="24"/>
          <w:szCs w:val="24"/>
          <w:lang w:val="ka-GE"/>
        </w:rPr>
        <w:t>Medium-term Fiscal Framework Compliance with Fiscal Rules Considered by the Organic Law of Georgia “The Economic Liberty Act”</w:t>
      </w:r>
      <w:bookmarkEnd w:id="9"/>
    </w:p>
    <w:p w:rsidR="00E45A2E" w:rsidRPr="00DB24BD" w:rsidRDefault="00E45A2E" w:rsidP="00334A00">
      <w:pPr>
        <w:tabs>
          <w:tab w:val="left" w:pos="90"/>
        </w:tabs>
        <w:spacing w:after="0" w:line="276" w:lineRule="auto"/>
        <w:ind w:firstLine="720"/>
        <w:jc w:val="both"/>
        <w:rPr>
          <w:rFonts w:cstheme="minorHAnsi"/>
          <w:sz w:val="24"/>
          <w:szCs w:val="24"/>
          <w:lang w:val="ka-GE"/>
        </w:rPr>
      </w:pPr>
      <w:r w:rsidRPr="00DB24BD">
        <w:rPr>
          <w:rFonts w:cstheme="minorHAnsi"/>
          <w:sz w:val="24"/>
          <w:szCs w:val="24"/>
          <w:lang w:val="ka-GE"/>
        </w:rPr>
        <w:t>According to the organic law of Georgia “the economic liberty act”, based on the state of emergency, Georgian government had an opportunity to operate beyond the limits of fiscal parameters defined by the legislation, in order to finance the abovementioned measures smoothly.</w:t>
      </w:r>
    </w:p>
    <w:p w:rsidR="00AB1887" w:rsidRPr="00DB24BD" w:rsidRDefault="00AB1887" w:rsidP="00334A00">
      <w:pPr>
        <w:tabs>
          <w:tab w:val="left" w:pos="90"/>
        </w:tabs>
        <w:spacing w:after="0" w:line="276" w:lineRule="auto"/>
        <w:ind w:firstLine="720"/>
        <w:jc w:val="both"/>
        <w:rPr>
          <w:rFonts w:cstheme="minorHAnsi"/>
          <w:sz w:val="24"/>
          <w:szCs w:val="24"/>
        </w:rPr>
      </w:pPr>
      <w:r w:rsidRPr="00DB24BD">
        <w:rPr>
          <w:rFonts w:cstheme="minorHAnsi"/>
          <w:sz w:val="24"/>
          <w:szCs w:val="24"/>
          <w:lang w:val="ka-GE"/>
        </w:rPr>
        <w:t>Considering that, due to the pandemic, the economy will decline in 2020,</w:t>
      </w:r>
      <w:r w:rsidRPr="00DB24BD">
        <w:rPr>
          <w:rFonts w:cstheme="minorHAnsi"/>
          <w:sz w:val="24"/>
          <w:szCs w:val="24"/>
        </w:rPr>
        <w:t xml:space="preserve"> </w:t>
      </w:r>
      <w:r w:rsidRPr="00DB24BD">
        <w:rPr>
          <w:rFonts w:cstheme="minorHAnsi"/>
          <w:sz w:val="24"/>
          <w:szCs w:val="24"/>
          <w:lang w:val="ka-GE"/>
        </w:rPr>
        <w:t>while current expenditures have increased due to pandemic response measures, the state budget deficit in 2020 was 8.5% of GDP, and 2021 is projected at 7.7%.</w:t>
      </w:r>
      <w:r w:rsidRPr="00DB24BD">
        <w:rPr>
          <w:rFonts w:cstheme="minorHAnsi"/>
          <w:sz w:val="24"/>
          <w:szCs w:val="24"/>
        </w:rPr>
        <w:t xml:space="preserve"> The forecasts attached to the draft law on the state budget for 2021 envisaged reaching the mark (3%) provided for by the Organic Law of Georgia on Economic Freedom by 2023 and was set at 2.9%.</w:t>
      </w:r>
    </w:p>
    <w:p w:rsidR="00AB1887" w:rsidRDefault="00AB1887" w:rsidP="00AD738A">
      <w:pPr>
        <w:tabs>
          <w:tab w:val="left" w:pos="90"/>
        </w:tabs>
        <w:spacing w:after="120" w:line="276" w:lineRule="auto"/>
        <w:ind w:firstLine="720"/>
        <w:jc w:val="both"/>
        <w:rPr>
          <w:rFonts w:cstheme="minorHAnsi"/>
          <w:sz w:val="24"/>
          <w:szCs w:val="24"/>
        </w:rPr>
      </w:pPr>
      <w:r w:rsidRPr="00DB24BD">
        <w:rPr>
          <w:rFonts w:cstheme="minorHAnsi"/>
          <w:sz w:val="24"/>
          <w:szCs w:val="24"/>
          <w:lang w:val="ka-GE"/>
        </w:rPr>
        <w:t>Due to the faster recovery than the projected economic growth from 2021, it became possible to reach the limits set by the deficit legislation at a more equal pace.</w:t>
      </w:r>
      <w:r w:rsidRPr="00DB24BD">
        <w:rPr>
          <w:rFonts w:cstheme="minorHAnsi"/>
          <w:sz w:val="24"/>
          <w:szCs w:val="24"/>
        </w:rPr>
        <w:t xml:space="preserve"> In 2021, the unified state budget deficit will decrease from 7.7% to 6.8%, and by 2023 it will drop to 2.9%.</w:t>
      </w:r>
    </w:p>
    <w:p w:rsidR="00DB24BD" w:rsidRDefault="00DB24BD" w:rsidP="00AD738A">
      <w:pPr>
        <w:tabs>
          <w:tab w:val="left" w:pos="90"/>
        </w:tabs>
        <w:spacing w:after="120" w:line="276" w:lineRule="auto"/>
        <w:ind w:firstLine="720"/>
        <w:jc w:val="both"/>
        <w:rPr>
          <w:rFonts w:cstheme="minorHAnsi"/>
          <w:sz w:val="24"/>
          <w:szCs w:val="24"/>
        </w:rPr>
      </w:pPr>
    </w:p>
    <w:p w:rsidR="00DB24BD" w:rsidRPr="00DB24BD" w:rsidRDefault="00DB24BD" w:rsidP="00AD738A">
      <w:pPr>
        <w:tabs>
          <w:tab w:val="left" w:pos="90"/>
        </w:tabs>
        <w:spacing w:after="120" w:line="276" w:lineRule="auto"/>
        <w:ind w:firstLine="720"/>
        <w:jc w:val="both"/>
        <w:rPr>
          <w:rFonts w:cstheme="minorHAnsi"/>
          <w:sz w:val="24"/>
          <w:szCs w:val="24"/>
        </w:rPr>
      </w:pPr>
    </w:p>
    <w:p w:rsidR="00044987" w:rsidRPr="00DB24BD" w:rsidRDefault="00AB1887"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Theme="minorHAnsi" w:hAnsiTheme="minorHAnsi" w:cstheme="minorHAnsi"/>
          <w:b/>
          <w:bCs/>
          <w:noProof/>
          <w:lang w:val="ka-GE"/>
        </w:rPr>
      </w:pPr>
      <w:r w:rsidRPr="00DB24BD">
        <w:rPr>
          <w:rFonts w:asciiTheme="minorHAnsi" w:hAnsiTheme="minorHAnsi" w:cstheme="minorHAnsi"/>
          <w:b/>
          <w:bCs/>
          <w:noProof/>
          <w:lang w:val="en-US"/>
        </w:rPr>
        <w:lastRenderedPageBreak/>
        <w:t xml:space="preserve">Table </w:t>
      </w:r>
      <w:r w:rsidR="00334A00" w:rsidRPr="00DB24BD">
        <w:rPr>
          <w:rFonts w:asciiTheme="minorHAnsi" w:hAnsiTheme="minorHAnsi" w:cstheme="minorHAnsi"/>
          <w:b/>
          <w:bCs/>
          <w:noProof/>
          <w:lang w:val="ka-GE"/>
        </w:rPr>
        <w:t>№8</w:t>
      </w:r>
      <w:r w:rsidR="00044987" w:rsidRPr="00DB24BD">
        <w:rPr>
          <w:rFonts w:asciiTheme="minorHAnsi" w:hAnsiTheme="minorHAnsi" w:cstheme="minorHAnsi"/>
          <w:b/>
          <w:bCs/>
          <w:noProof/>
          <w:lang w:val="ka-GE"/>
        </w:rPr>
        <w:t xml:space="preserve"> - </w:t>
      </w:r>
      <w:r w:rsidRPr="00DB24BD">
        <w:rPr>
          <w:rFonts w:asciiTheme="minorHAnsi" w:hAnsiTheme="minorHAnsi" w:cstheme="minorHAnsi"/>
          <w:b/>
          <w:bCs/>
          <w:noProof/>
          <w:lang w:val="ka-GE"/>
        </w:rPr>
        <w:t>Forecast of Return to the Limits Considered by the Legislation (Percentage to GDP)</w:t>
      </w:r>
    </w:p>
    <w:tbl>
      <w:tblPr>
        <w:tblW w:w="5000" w:type="pct"/>
        <w:tblLook w:val="04A0" w:firstRow="1" w:lastRow="0" w:firstColumn="1" w:lastColumn="0" w:noHBand="0" w:noVBand="1"/>
      </w:tblPr>
      <w:tblGrid>
        <w:gridCol w:w="3869"/>
        <w:gridCol w:w="1079"/>
        <w:gridCol w:w="1079"/>
        <w:gridCol w:w="1079"/>
        <w:gridCol w:w="1079"/>
        <w:gridCol w:w="1079"/>
        <w:gridCol w:w="1073"/>
      </w:tblGrid>
      <w:tr w:rsidR="004025F5" w:rsidRPr="00DB24BD" w:rsidTr="006A057A">
        <w:trPr>
          <w:trHeight w:val="300"/>
          <w:tblHead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rPr>
                <w:rFonts w:eastAsia="Times New Roman" w:cstheme="minorHAnsi"/>
                <w:color w:val="000000"/>
                <w:sz w:val="20"/>
                <w:szCs w:val="20"/>
              </w:rPr>
            </w:pPr>
            <w:bookmarkStart w:id="10" w:name="RANGE!C146:I158"/>
            <w:r w:rsidRPr="00DB24BD">
              <w:rPr>
                <w:rFonts w:eastAsia="Times New Roman" w:cstheme="minorHAnsi"/>
                <w:color w:val="000000"/>
                <w:sz w:val="20"/>
                <w:szCs w:val="20"/>
              </w:rPr>
              <w:t> </w:t>
            </w:r>
            <w:bookmarkEnd w:id="10"/>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DB24BD" w:rsidRDefault="004025F5" w:rsidP="004025F5">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2020 </w:t>
            </w:r>
            <w:r w:rsidR="00AB1887" w:rsidRPr="00DB24BD">
              <w:rPr>
                <w:rFonts w:eastAsia="Times New Roman" w:cstheme="minorHAnsi"/>
                <w:b/>
                <w:bCs/>
                <w:color w:val="000000"/>
                <w:sz w:val="20"/>
                <w:szCs w:val="20"/>
              </w:rPr>
              <w:t>Year</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DB24BD" w:rsidRDefault="004025F5" w:rsidP="004025F5">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2021 </w:t>
            </w:r>
            <w:r w:rsidR="00AB1887" w:rsidRPr="00DB24BD">
              <w:rPr>
                <w:rFonts w:eastAsia="Times New Roman" w:cstheme="minorHAnsi"/>
                <w:b/>
                <w:bCs/>
                <w:color w:val="000000"/>
                <w:sz w:val="20"/>
                <w:szCs w:val="20"/>
              </w:rPr>
              <w:t>Year</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DB24BD" w:rsidRDefault="004025F5" w:rsidP="004025F5">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2022 </w:t>
            </w:r>
            <w:r w:rsidR="00AB1887" w:rsidRPr="00DB24BD">
              <w:rPr>
                <w:rFonts w:eastAsia="Times New Roman" w:cstheme="minorHAnsi"/>
                <w:b/>
                <w:bCs/>
                <w:color w:val="000000"/>
                <w:sz w:val="20"/>
                <w:szCs w:val="20"/>
              </w:rPr>
              <w:t>Year</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DB24BD" w:rsidRDefault="004025F5" w:rsidP="004025F5">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2023 </w:t>
            </w:r>
            <w:r w:rsidR="00AB1887" w:rsidRPr="00DB24BD">
              <w:rPr>
                <w:rFonts w:eastAsia="Times New Roman" w:cstheme="minorHAnsi"/>
                <w:b/>
                <w:bCs/>
                <w:color w:val="000000"/>
                <w:sz w:val="20"/>
                <w:szCs w:val="20"/>
              </w:rPr>
              <w:t>Year</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DB24BD" w:rsidRDefault="004025F5" w:rsidP="004025F5">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2024 </w:t>
            </w:r>
            <w:r w:rsidR="00AB1887" w:rsidRPr="00DB24BD">
              <w:rPr>
                <w:rFonts w:eastAsia="Times New Roman" w:cstheme="minorHAnsi"/>
                <w:b/>
                <w:bCs/>
                <w:color w:val="000000"/>
                <w:sz w:val="20"/>
                <w:szCs w:val="20"/>
              </w:rPr>
              <w:t>Year</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4025F5" w:rsidRPr="00DB24BD" w:rsidRDefault="004025F5" w:rsidP="004025F5">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2025 </w:t>
            </w:r>
            <w:r w:rsidR="00AB1887" w:rsidRPr="00DB24BD">
              <w:rPr>
                <w:rFonts w:eastAsia="Times New Roman" w:cstheme="minorHAnsi"/>
                <w:b/>
                <w:bCs/>
                <w:color w:val="000000"/>
                <w:sz w:val="20"/>
                <w:szCs w:val="20"/>
              </w:rPr>
              <w:t>Year</w:t>
            </w:r>
          </w:p>
        </w:tc>
      </w:tr>
      <w:tr w:rsidR="004025F5" w:rsidRPr="00DB24BD" w:rsidTr="004025F5">
        <w:trPr>
          <w:trHeight w:val="9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AB1887" w:rsidP="004025F5">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Non-deficit revenues (revenues + decrease in non-financial assets)</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24,8%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24,7%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25,8%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25,5%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25,5%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25,4%</w:t>
            </w:r>
          </w:p>
        </w:tc>
      </w:tr>
      <w:tr w:rsidR="004025F5" w:rsidRPr="00DB24BD" w:rsidTr="004025F5">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AB1887" w:rsidP="004025F5">
            <w:pPr>
              <w:spacing w:after="0" w:line="240" w:lineRule="auto"/>
              <w:rPr>
                <w:rFonts w:eastAsia="Times New Roman" w:cstheme="minorHAnsi"/>
                <w:i/>
                <w:iCs/>
                <w:color w:val="000000"/>
                <w:sz w:val="20"/>
                <w:szCs w:val="20"/>
              </w:rPr>
            </w:pPr>
            <w:r w:rsidRPr="00DB24BD">
              <w:rPr>
                <w:rFonts w:eastAsia="Times New Roman" w:cstheme="minorHAnsi"/>
                <w:i/>
                <w:iCs/>
                <w:color w:val="000000"/>
                <w:sz w:val="20"/>
                <w:szCs w:val="20"/>
              </w:rPr>
              <w:t>+/- difference with previous year</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1,2%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-0,1%</w:t>
            </w:r>
          </w:p>
        </w:tc>
      </w:tr>
      <w:tr w:rsidR="004025F5" w:rsidRPr="00DB24BD" w:rsidTr="004025F5">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r>
      <w:tr w:rsidR="004025F5" w:rsidRPr="00DB24BD" w:rsidTr="004025F5">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AB1887" w:rsidP="004025F5">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Expenditure</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26,3%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25,1%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22,8%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22,4%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22,1%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21,8%</w:t>
            </w:r>
          </w:p>
        </w:tc>
      </w:tr>
      <w:tr w:rsidR="004025F5" w:rsidRPr="00DB24BD" w:rsidTr="004025F5">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AB1887" w:rsidP="004025F5">
            <w:pPr>
              <w:spacing w:after="0" w:line="240" w:lineRule="auto"/>
              <w:rPr>
                <w:rFonts w:eastAsia="Times New Roman" w:cstheme="minorHAnsi"/>
                <w:i/>
                <w:iCs/>
                <w:color w:val="000000"/>
                <w:sz w:val="20"/>
                <w:szCs w:val="20"/>
              </w:rPr>
            </w:pPr>
            <w:r w:rsidRPr="00DB24BD">
              <w:rPr>
                <w:rFonts w:eastAsia="Times New Roman" w:cstheme="minorHAnsi"/>
                <w:i/>
                <w:iCs/>
                <w:color w:val="000000"/>
                <w:sz w:val="20"/>
                <w:szCs w:val="20"/>
              </w:rPr>
              <w:t>+/- difference with previous year</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-1,2%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-0,3%</w:t>
            </w:r>
          </w:p>
        </w:tc>
      </w:tr>
      <w:tr w:rsidR="004025F5" w:rsidRPr="00DB24BD" w:rsidTr="004025F5">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r>
      <w:tr w:rsidR="004025F5" w:rsidRPr="00DB24BD" w:rsidTr="004025F5">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AB1887" w:rsidP="004025F5">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Increase in non-financial Assets</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8,6%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8,0%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8,8%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6,5%</w:t>
            </w:r>
          </w:p>
        </w:tc>
      </w:tr>
      <w:tr w:rsidR="004025F5" w:rsidRPr="00DB24BD" w:rsidTr="004025F5">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AB1887" w:rsidP="004025F5">
            <w:pPr>
              <w:spacing w:after="0" w:line="240" w:lineRule="auto"/>
              <w:rPr>
                <w:rFonts w:eastAsia="Times New Roman" w:cstheme="minorHAnsi"/>
                <w:i/>
                <w:iCs/>
                <w:color w:val="000000"/>
                <w:sz w:val="20"/>
                <w:szCs w:val="20"/>
              </w:rPr>
            </w:pPr>
            <w:r w:rsidRPr="00DB24BD">
              <w:rPr>
                <w:rFonts w:eastAsia="Times New Roman" w:cstheme="minorHAnsi"/>
                <w:i/>
                <w:iCs/>
                <w:color w:val="000000"/>
                <w:sz w:val="20"/>
                <w:szCs w:val="20"/>
              </w:rPr>
              <w:t>+/- difference with previous year</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-2,1%</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-0,1%</w:t>
            </w:r>
          </w:p>
        </w:tc>
      </w:tr>
      <w:tr w:rsidR="004025F5" w:rsidRPr="00DB24BD" w:rsidTr="004025F5">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r>
      <w:tr w:rsidR="004025F5" w:rsidRPr="00DB24BD" w:rsidTr="004025F5">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AB1887" w:rsidP="004025F5">
            <w:pPr>
              <w:spacing w:after="0" w:line="240" w:lineRule="auto"/>
              <w:rPr>
                <w:rFonts w:eastAsia="Times New Roman" w:cstheme="minorHAnsi"/>
                <w:b/>
                <w:bCs/>
                <w:color w:val="000000"/>
                <w:sz w:val="20"/>
                <w:szCs w:val="20"/>
              </w:rPr>
            </w:pPr>
            <w:r w:rsidRPr="00DB24BD">
              <w:rPr>
                <w:rFonts w:eastAsia="Times New Roman" w:cstheme="minorHAnsi"/>
                <w:b/>
                <w:bCs/>
                <w:color w:val="000000"/>
                <w:sz w:val="20"/>
                <w:szCs w:val="20"/>
              </w:rPr>
              <w:t>Negative total balance</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-9,3%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-6,8%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-4,3%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-2,8%</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-2,3%</w:t>
            </w:r>
          </w:p>
        </w:tc>
      </w:tr>
      <w:tr w:rsidR="004025F5" w:rsidRPr="00DB24BD" w:rsidTr="004025F5">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AB1887" w:rsidP="004025F5">
            <w:pPr>
              <w:spacing w:after="0" w:line="240" w:lineRule="auto"/>
              <w:rPr>
                <w:rFonts w:eastAsia="Times New Roman" w:cstheme="minorHAnsi"/>
                <w:i/>
                <w:iCs/>
                <w:color w:val="000000"/>
                <w:sz w:val="20"/>
                <w:szCs w:val="20"/>
              </w:rPr>
            </w:pPr>
            <w:r w:rsidRPr="00DB24BD">
              <w:rPr>
                <w:rFonts w:eastAsia="Times New Roman" w:cstheme="minorHAnsi"/>
                <w:i/>
                <w:iCs/>
                <w:color w:val="000000"/>
                <w:sz w:val="20"/>
                <w:szCs w:val="20"/>
              </w:rPr>
              <w:t>+/- difference with previous year</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1,5%</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0,2%</w:t>
            </w:r>
          </w:p>
        </w:tc>
      </w:tr>
      <w:tr w:rsidR="004025F5" w:rsidRPr="00DB24BD" w:rsidTr="004025F5">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4,2%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5,2%</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3,7%</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0,6%</w:t>
            </w:r>
          </w:p>
        </w:tc>
        <w:tc>
          <w:tcPr>
            <w:tcW w:w="522"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 </w:t>
            </w:r>
          </w:p>
        </w:tc>
      </w:tr>
    </w:tbl>
    <w:p w:rsidR="00B04796" w:rsidRPr="00DB24BD"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Theme="minorHAnsi" w:hAnsiTheme="minorHAnsi" w:cstheme="minorHAnsi"/>
          <w:b/>
          <w:bCs/>
          <w:noProof/>
          <w:lang w:val="ka-GE"/>
        </w:rPr>
      </w:pPr>
    </w:p>
    <w:p w:rsidR="00B04796" w:rsidRPr="000D4D6A" w:rsidRDefault="00B659A6" w:rsidP="00AB188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theme="minorHAnsi"/>
          <w:bCs/>
          <w:noProof/>
          <w:lang w:val="en-US"/>
        </w:rPr>
      </w:pPr>
      <w:r w:rsidRPr="000D4D6A">
        <w:rPr>
          <w:rFonts w:ascii="Sylfaen" w:hAnsi="Sylfaen" w:cstheme="minorHAnsi"/>
          <w:bCs/>
          <w:noProof/>
          <w:lang w:val="en-US"/>
        </w:rPr>
        <w:t xml:space="preserve">Despite of the fact that economic recovery has been started from 2021 and based on the updated projections real GDP growth amounts 10% and during the medium term period will maintain at average on 5.5%, in response to the pandemic taking into account the existing tax examptions, the share of non-deficit revenues to GDP is slightely increasing compared to priveous year by 0.1 percentage poing and by the end of the medium term period is maintained to 25.4%. </w:t>
      </w:r>
      <w:r w:rsidR="00A640DA" w:rsidRPr="000D4D6A">
        <w:rPr>
          <w:rFonts w:ascii="Sylfaen" w:hAnsi="Sylfaen" w:cstheme="minorHAnsi"/>
          <w:bCs/>
          <w:noProof/>
          <w:lang w:val="en-US"/>
        </w:rPr>
        <w:t>Despite the pension indexation reform, i</w:t>
      </w:r>
      <w:r w:rsidRPr="000D4D6A">
        <w:rPr>
          <w:rFonts w:ascii="Sylfaen" w:hAnsi="Sylfaen" w:cstheme="minorHAnsi"/>
          <w:bCs/>
          <w:noProof/>
          <w:lang w:val="en-US"/>
        </w:rPr>
        <w:t>n 2022 the share of Consolidated budget current spending  to GDP is 22.8%</w:t>
      </w:r>
      <w:r w:rsidR="00A640DA" w:rsidRPr="000D4D6A">
        <w:rPr>
          <w:rFonts w:ascii="Sylfaen" w:hAnsi="Sylfaen" w:cstheme="minorHAnsi"/>
          <w:bCs/>
          <w:noProof/>
          <w:lang w:val="en-US"/>
        </w:rPr>
        <w:t xml:space="preserve"> and during the medium term period decreases to 21.8%. also, to maintain the share of the increase of non-financial assets to GDP at 7% gives opportunity to reduce General Government budget defitic to 2.8% and reach the limits defined in the organic law of Georgia “On economic Freedom.” However, in parallel to reducing budget deficit, meintainin capital spending at 8% of GDP during the next medium term period is an important challenge, </w:t>
      </w:r>
      <w:r w:rsidR="00AF7EC0" w:rsidRPr="000D4D6A">
        <w:rPr>
          <w:rFonts w:ascii="Sylfaen" w:hAnsi="Sylfaen" w:cstheme="minorHAnsi"/>
          <w:bCs/>
          <w:noProof/>
          <w:lang w:val="en-US"/>
        </w:rPr>
        <w:t>at the same time maintaining</w:t>
      </w:r>
      <w:r w:rsidR="00A640DA" w:rsidRPr="000D4D6A">
        <w:rPr>
          <w:rFonts w:ascii="Sylfaen" w:hAnsi="Sylfaen" w:cstheme="minorHAnsi"/>
          <w:bCs/>
          <w:noProof/>
          <w:lang w:val="en-US"/>
        </w:rPr>
        <w:t xml:space="preserve"> </w:t>
      </w:r>
      <w:r w:rsidR="00AF7EC0" w:rsidRPr="000D4D6A">
        <w:rPr>
          <w:rFonts w:ascii="Sylfaen" w:hAnsi="Sylfaen" w:cstheme="minorHAnsi"/>
          <w:bCs/>
          <w:noProof/>
          <w:lang w:val="en-US"/>
        </w:rPr>
        <w:t>current spending within</w:t>
      </w:r>
      <w:r w:rsidR="00A640DA" w:rsidRPr="000D4D6A">
        <w:rPr>
          <w:rFonts w:ascii="Sylfaen" w:hAnsi="Sylfaen" w:cstheme="minorHAnsi"/>
          <w:bCs/>
          <w:noProof/>
          <w:lang w:val="en-US"/>
        </w:rPr>
        <w:t xml:space="preserve"> 23%</w:t>
      </w:r>
      <w:r w:rsidR="00AF7EC0" w:rsidRPr="000D4D6A">
        <w:rPr>
          <w:rFonts w:ascii="Sylfaen" w:hAnsi="Sylfaen" w:cstheme="minorHAnsi"/>
          <w:bCs/>
          <w:noProof/>
          <w:lang w:val="en-US"/>
        </w:rPr>
        <w:t xml:space="preserve">, considering </w:t>
      </w:r>
      <w:r w:rsidR="000D4D6A" w:rsidRPr="000D4D6A">
        <w:rPr>
          <w:rFonts w:ascii="Sylfaen" w:hAnsi="Sylfaen" w:cstheme="minorHAnsi"/>
          <w:bCs/>
          <w:noProof/>
          <w:lang w:val="en-US"/>
        </w:rPr>
        <w:t>ongoing reforms including pension indexation, education reform and other structural reforms imply a more restrictive fiscal policy in the medium term period.</w:t>
      </w:r>
    </w:p>
    <w:p w:rsidR="00B97489" w:rsidRPr="00DB24BD" w:rsidRDefault="00B97489" w:rsidP="00AD738A">
      <w:pPr>
        <w:spacing w:line="276" w:lineRule="auto"/>
        <w:ind w:firstLine="720"/>
        <w:jc w:val="both"/>
        <w:rPr>
          <w:rFonts w:cstheme="minorHAnsi"/>
          <w:sz w:val="24"/>
          <w:szCs w:val="24"/>
        </w:rPr>
      </w:pPr>
      <w:r w:rsidRPr="00DB24BD">
        <w:rPr>
          <w:rFonts w:cstheme="minorHAnsi"/>
          <w:sz w:val="24"/>
          <w:szCs w:val="24"/>
        </w:rPr>
        <w:t>Table №9  shows the forecast of the total balance of consolidated and general government budget for 2020-2025 and the deficit defined by the IMF program, and their comparison to the previous period forecasts.</w:t>
      </w:r>
    </w:p>
    <w:p w:rsidR="00B97489" w:rsidRPr="00DB24BD" w:rsidRDefault="00B97489" w:rsidP="00AD738A">
      <w:pPr>
        <w:spacing w:line="276" w:lineRule="auto"/>
        <w:ind w:firstLine="720"/>
        <w:jc w:val="both"/>
        <w:rPr>
          <w:rFonts w:cstheme="minorHAnsi"/>
          <w:sz w:val="24"/>
          <w:szCs w:val="24"/>
          <w:lang w:val="ka-GE"/>
        </w:rPr>
      </w:pPr>
    </w:p>
    <w:p w:rsidR="00A344A4" w:rsidRPr="00DB24BD" w:rsidRDefault="00410C6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Theme="minorHAnsi" w:hAnsiTheme="minorHAnsi" w:cstheme="minorHAnsi"/>
          <w:b/>
          <w:bCs/>
          <w:noProof/>
          <w:lang w:val="en-US"/>
        </w:rPr>
      </w:pPr>
      <w:r w:rsidRPr="00DB24BD">
        <w:rPr>
          <w:rFonts w:asciiTheme="minorHAnsi" w:hAnsiTheme="minorHAnsi" w:cstheme="minorHAnsi"/>
          <w:b/>
          <w:bCs/>
          <w:noProof/>
          <w:lang w:val="en-US"/>
        </w:rPr>
        <w:t>Table</w:t>
      </w:r>
      <w:r w:rsidR="00A97679" w:rsidRPr="00DB24BD">
        <w:rPr>
          <w:rFonts w:asciiTheme="minorHAnsi" w:hAnsiTheme="minorHAnsi" w:cstheme="minorHAnsi"/>
          <w:b/>
          <w:bCs/>
          <w:noProof/>
          <w:lang w:val="ka-GE"/>
        </w:rPr>
        <w:t xml:space="preserve"> №9</w:t>
      </w:r>
      <w:r w:rsidR="00A344A4" w:rsidRPr="00DB24BD">
        <w:rPr>
          <w:rFonts w:asciiTheme="minorHAnsi" w:hAnsiTheme="minorHAnsi" w:cstheme="minorHAnsi"/>
          <w:b/>
          <w:bCs/>
          <w:noProof/>
          <w:lang w:val="ka-GE"/>
        </w:rPr>
        <w:t xml:space="preserve"> - </w:t>
      </w:r>
      <w:r w:rsidRPr="00DB24BD">
        <w:rPr>
          <w:rFonts w:asciiTheme="minorHAnsi" w:hAnsiTheme="minorHAnsi" w:cstheme="minorHAnsi"/>
          <w:b/>
          <w:bCs/>
          <w:noProof/>
          <w:lang w:val="ka-GE"/>
        </w:rPr>
        <w:t>Comparison of Budget Deficit Forecasts</w:t>
      </w:r>
    </w:p>
    <w:p w:rsidR="00542BAD" w:rsidRPr="00DB24BD" w:rsidRDefault="00F37A22"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Theme="minorHAnsi" w:hAnsiTheme="minorHAnsi" w:cstheme="minorHAnsi"/>
          <w:b/>
          <w:bCs/>
          <w:noProof/>
          <w:lang w:val="ka-GE"/>
        </w:rPr>
      </w:pPr>
      <w:r w:rsidRPr="00DB24BD">
        <w:rPr>
          <w:rFonts w:asciiTheme="minorHAnsi" w:hAnsiTheme="minorHAnsi" w:cstheme="minorHAnsi"/>
          <w:b/>
          <w:bCs/>
          <w:noProof/>
          <w:lang w:val="ka-GE"/>
        </w:rPr>
        <w:t>/</w:t>
      </w:r>
      <w:r w:rsidRPr="00DB24BD">
        <w:rPr>
          <w:rFonts w:asciiTheme="minorHAnsi" w:hAnsiTheme="minorHAnsi" w:cstheme="minorHAnsi"/>
        </w:rPr>
        <w:t xml:space="preserve"> </w:t>
      </w:r>
      <w:r w:rsidRPr="00DB24BD">
        <w:rPr>
          <w:rFonts w:asciiTheme="minorHAnsi" w:hAnsiTheme="minorHAnsi" w:cstheme="minorHAnsi"/>
          <w:b/>
          <w:bCs/>
          <w:noProof/>
          <w:lang w:val="ka-GE"/>
        </w:rPr>
        <w:t>Million GEL</w:t>
      </w:r>
      <w:r w:rsidR="00542BAD" w:rsidRPr="00DB24BD">
        <w:rPr>
          <w:rFonts w:asciiTheme="minorHAnsi" w:hAnsiTheme="minorHAnsi" w:cstheme="minorHAnsi"/>
          <w:b/>
          <w:bCs/>
          <w:noProof/>
          <w:lang w:val="ka-GE"/>
        </w:rPr>
        <w:t>/</w:t>
      </w:r>
    </w:p>
    <w:tbl>
      <w:tblPr>
        <w:tblW w:w="5251" w:type="pct"/>
        <w:tblLook w:val="04A0" w:firstRow="1" w:lastRow="0" w:firstColumn="1" w:lastColumn="0" w:noHBand="0" w:noVBand="1"/>
      </w:tblPr>
      <w:tblGrid>
        <w:gridCol w:w="1487"/>
        <w:gridCol w:w="747"/>
        <w:gridCol w:w="747"/>
        <w:gridCol w:w="747"/>
        <w:gridCol w:w="747"/>
        <w:gridCol w:w="747"/>
        <w:gridCol w:w="747"/>
        <w:gridCol w:w="828"/>
        <w:gridCol w:w="828"/>
        <w:gridCol w:w="828"/>
        <w:gridCol w:w="828"/>
        <w:gridCol w:w="828"/>
        <w:gridCol w:w="747"/>
      </w:tblGrid>
      <w:tr w:rsidR="004025F5" w:rsidRPr="00DB24BD" w:rsidTr="00765F91">
        <w:trPr>
          <w:trHeight w:val="113"/>
          <w:tblHeader/>
        </w:trPr>
        <w:tc>
          <w:tcPr>
            <w:tcW w:w="7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25F5" w:rsidRPr="00DB24BD" w:rsidRDefault="00410C6F"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Name</w:t>
            </w:r>
          </w:p>
        </w:tc>
        <w:tc>
          <w:tcPr>
            <w:tcW w:w="2048" w:type="pct"/>
            <w:gridSpan w:val="6"/>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10C6F"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Consolidated Budget</w:t>
            </w:r>
          </w:p>
        </w:tc>
        <w:tc>
          <w:tcPr>
            <w:tcW w:w="2232" w:type="pct"/>
            <w:gridSpan w:val="6"/>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10C6F"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General Government Budget</w:t>
            </w:r>
          </w:p>
        </w:tc>
      </w:tr>
      <w:tr w:rsidR="004025F5" w:rsidRPr="00DB24BD" w:rsidTr="00765F91">
        <w:trPr>
          <w:trHeight w:val="113"/>
          <w:tblHeader/>
        </w:trPr>
        <w:tc>
          <w:tcPr>
            <w:tcW w:w="716" w:type="pct"/>
            <w:vMerge/>
            <w:tcBorders>
              <w:top w:val="single" w:sz="4" w:space="0" w:color="auto"/>
              <w:left w:val="single" w:sz="4" w:space="0" w:color="auto"/>
              <w:bottom w:val="single" w:sz="4" w:space="0" w:color="000000"/>
              <w:right w:val="single" w:sz="4" w:space="0" w:color="auto"/>
            </w:tcBorders>
            <w:vAlign w:val="center"/>
            <w:hideMark/>
          </w:tcPr>
          <w:p w:rsidR="004025F5" w:rsidRPr="00DB24BD" w:rsidRDefault="004025F5" w:rsidP="004025F5">
            <w:pPr>
              <w:spacing w:after="0" w:line="240" w:lineRule="auto"/>
              <w:rPr>
                <w:rFonts w:eastAsia="Times New Roman" w:cstheme="minorHAnsi"/>
                <w:b/>
                <w:bCs/>
                <w:sz w:val="16"/>
                <w:szCs w:val="16"/>
              </w:rPr>
            </w:pP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2020</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2021</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2022</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2023</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2024</w:t>
            </w:r>
          </w:p>
        </w:tc>
        <w:tc>
          <w:tcPr>
            <w:tcW w:w="341" w:type="pct"/>
            <w:tcBorders>
              <w:top w:val="nil"/>
              <w:left w:val="nil"/>
              <w:bottom w:val="single" w:sz="4" w:space="0" w:color="auto"/>
              <w:right w:val="single" w:sz="4" w:space="0" w:color="auto"/>
            </w:tcBorders>
            <w:shd w:val="clear" w:color="000000" w:fill="FDE9D9"/>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2025</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2020</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2021</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2022</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2023</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2024</w:t>
            </w:r>
          </w:p>
        </w:tc>
        <w:tc>
          <w:tcPr>
            <w:tcW w:w="341" w:type="pct"/>
            <w:tcBorders>
              <w:top w:val="nil"/>
              <w:left w:val="nil"/>
              <w:bottom w:val="single" w:sz="4" w:space="0" w:color="auto"/>
              <w:right w:val="single" w:sz="4" w:space="0" w:color="auto"/>
            </w:tcBorders>
            <w:shd w:val="clear" w:color="000000" w:fill="FDE9D9"/>
            <w:noWrap/>
            <w:vAlign w:val="center"/>
            <w:hideMark/>
          </w:tcPr>
          <w:p w:rsidR="004025F5" w:rsidRPr="00DB24BD" w:rsidRDefault="004025F5"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2025</w:t>
            </w:r>
          </w:p>
        </w:tc>
      </w:tr>
      <w:tr w:rsidR="004025F5" w:rsidRPr="00DB24BD" w:rsidTr="00765F91">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025F5"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410C6F" w:rsidP="004025F5">
            <w:pPr>
              <w:spacing w:after="0" w:line="240" w:lineRule="auto"/>
              <w:rPr>
                <w:rFonts w:eastAsia="Times New Roman" w:cstheme="minorHAnsi"/>
                <w:b/>
                <w:bCs/>
                <w:sz w:val="16"/>
                <w:szCs w:val="16"/>
              </w:rPr>
            </w:pPr>
            <w:r w:rsidRPr="00DB24BD">
              <w:rPr>
                <w:rFonts w:eastAsia="Times New Roman" w:cstheme="minorHAnsi"/>
                <w:b/>
                <w:bCs/>
                <w:sz w:val="16"/>
                <w:szCs w:val="16"/>
              </w:rPr>
              <w:t>Total balance</w:t>
            </w:r>
          </w:p>
        </w:tc>
        <w:tc>
          <w:tcPr>
            <w:tcW w:w="4280" w:type="pct"/>
            <w:gridSpan w:val="12"/>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left="-113" w:firstLineChars="180" w:firstLine="288"/>
              <w:rPr>
                <w:rFonts w:eastAsia="Times New Roman" w:cstheme="minorHAnsi"/>
                <w:sz w:val="16"/>
                <w:szCs w:val="16"/>
              </w:rPr>
            </w:pPr>
            <w:r w:rsidRPr="00DB24BD">
              <w:rPr>
                <w:rFonts w:eastAsia="Times New Roman" w:cstheme="minorHAnsi"/>
                <w:sz w:val="16"/>
                <w:szCs w:val="16"/>
              </w:rPr>
              <w:t>2021-2024 Forecast (December 2020)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-4 200,0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-3 991,0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-2 399,0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-1 813,0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-1 646,0</w:t>
            </w:r>
          </w:p>
        </w:tc>
        <w:tc>
          <w:tcPr>
            <w:tcW w:w="341" w:type="pct"/>
            <w:tcBorders>
              <w:top w:val="nil"/>
              <w:left w:val="nil"/>
              <w:bottom w:val="single" w:sz="4" w:space="0" w:color="auto"/>
              <w:right w:val="single" w:sz="4" w:space="0" w:color="auto"/>
            </w:tcBorders>
            <w:shd w:val="clear" w:color="000000" w:fill="FDE9D9"/>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 </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-4 188,70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-4 131,90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-2 342,60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-1 819,00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-1 649,00</w:t>
            </w:r>
          </w:p>
        </w:tc>
        <w:tc>
          <w:tcPr>
            <w:tcW w:w="341" w:type="pct"/>
            <w:tcBorders>
              <w:top w:val="nil"/>
              <w:left w:val="nil"/>
              <w:bottom w:val="single" w:sz="4" w:space="0" w:color="auto"/>
              <w:right w:val="single" w:sz="4" w:space="0" w:color="auto"/>
            </w:tcBorders>
            <w:shd w:val="clear" w:color="000000" w:fill="FDE9D9"/>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sz w:val="16"/>
                <w:szCs w:val="16"/>
              </w:rPr>
            </w:pPr>
            <w:r w:rsidRPr="00DB24BD">
              <w:rPr>
                <w:rFonts w:eastAsia="Times New Roman" w:cstheme="minorHAnsi"/>
                <w:sz w:val="16"/>
                <w:szCs w:val="16"/>
              </w:rPr>
              <w:lastRenderedPageBreak/>
              <w:t>2022-2025 Forecast (July 2021)</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-4 574,2</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-3 980,0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-2 661,0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-1 958,0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-1 914,0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-1 914,0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-4 450,9</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-3 971,1</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-2 632,0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-1 952,0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-1 863,0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-1 858,0</w:t>
            </w:r>
          </w:p>
        </w:tc>
      </w:tr>
      <w:tr w:rsidR="004025F5" w:rsidRPr="00DB24BD" w:rsidTr="00765F91">
        <w:trPr>
          <w:trHeight w:val="1385"/>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410C6F" w:rsidP="004025F5">
            <w:pPr>
              <w:spacing w:after="0" w:line="240" w:lineRule="auto"/>
              <w:ind w:firstLineChars="100" w:firstLine="160"/>
              <w:rPr>
                <w:rFonts w:eastAsia="Times New Roman" w:cstheme="minorHAnsi"/>
                <w:color w:val="305496"/>
                <w:sz w:val="16"/>
                <w:szCs w:val="16"/>
              </w:rPr>
            </w:pPr>
            <w:r w:rsidRPr="00DB24BD">
              <w:rPr>
                <w:rFonts w:eastAsia="Times New Roman" w:cstheme="minorHAnsi"/>
                <w:color w:val="203764"/>
                <w:sz w:val="16"/>
                <w:szCs w:val="16"/>
              </w:rPr>
              <w:t>2022-2025 Forecast (</w:t>
            </w:r>
            <w:r w:rsidR="00765F91">
              <w:rPr>
                <w:rFonts w:eastAsia="Times New Roman" w:cstheme="minorHAnsi"/>
                <w:color w:val="203764"/>
                <w:sz w:val="16"/>
                <w:szCs w:val="16"/>
              </w:rPr>
              <w:t>Draft Budget</w:t>
            </w:r>
            <w:r w:rsidRPr="00DB24BD">
              <w:rPr>
                <w:rFonts w:eastAsia="Times New Roman" w:cstheme="minorHAnsi"/>
                <w:color w:val="203764"/>
                <w:sz w:val="16"/>
                <w:szCs w:val="16"/>
              </w:rPr>
              <w:t>2022)</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-4 574,2</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-3 968,0</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-2 777,0</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-1 959,0</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-1 929,0</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-1 929,0</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-4 450,9</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-3 928,0</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-2 750,0</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-1 940,0</w:t>
            </w:r>
          </w:p>
        </w:tc>
        <w:tc>
          <w:tcPr>
            <w:tcW w:w="378"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-1 923,0</w:t>
            </w:r>
          </w:p>
        </w:tc>
        <w:tc>
          <w:tcPr>
            <w:tcW w:w="341" w:type="pct"/>
            <w:tcBorders>
              <w:top w:val="nil"/>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-1 959,0</w:t>
            </w:r>
          </w:p>
        </w:tc>
      </w:tr>
      <w:tr w:rsidR="004025F5" w:rsidRPr="00DB24BD" w:rsidTr="00765F91">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025F5"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F37A22" w:rsidP="004025F5">
            <w:pPr>
              <w:spacing w:after="0" w:line="240" w:lineRule="auto"/>
              <w:rPr>
                <w:rFonts w:eastAsia="Times New Roman" w:cstheme="minorHAnsi"/>
                <w:b/>
                <w:bCs/>
                <w:sz w:val="16"/>
                <w:szCs w:val="16"/>
              </w:rPr>
            </w:pPr>
            <w:r w:rsidRPr="00DB24BD">
              <w:rPr>
                <w:rFonts w:eastAsia="Times New Roman" w:cstheme="minorHAnsi"/>
                <w:b/>
                <w:bCs/>
                <w:sz w:val="16"/>
                <w:szCs w:val="16"/>
              </w:rPr>
              <w:t>Modified deficit (IMF program)</w:t>
            </w:r>
          </w:p>
        </w:tc>
        <w:tc>
          <w:tcPr>
            <w:tcW w:w="4280" w:type="pct"/>
            <w:gridSpan w:val="12"/>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sz w:val="16"/>
                <w:szCs w:val="16"/>
              </w:rPr>
            </w:pPr>
            <w:r w:rsidRPr="00DB24BD">
              <w:rPr>
                <w:rFonts w:eastAsia="Times New Roman" w:cstheme="minorHAnsi"/>
                <w:sz w:val="16"/>
                <w:szCs w:val="16"/>
              </w:rPr>
              <w:t>2021-2024 Forecast (December 2020)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-4 470,0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-4 082,0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-2 534,0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-1 948,0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-1 781,0</w:t>
            </w:r>
          </w:p>
        </w:tc>
        <w:tc>
          <w:tcPr>
            <w:tcW w:w="341" w:type="pct"/>
            <w:tcBorders>
              <w:top w:val="nil"/>
              <w:left w:val="nil"/>
              <w:bottom w:val="single" w:sz="4" w:space="0" w:color="auto"/>
              <w:right w:val="single" w:sz="4" w:space="0" w:color="auto"/>
            </w:tcBorders>
            <w:shd w:val="clear" w:color="000000" w:fill="FDE9D9"/>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 </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-4 498,9</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-4 228,8</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-2 487,6</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-1 964,0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-1 794,0</w:t>
            </w:r>
          </w:p>
        </w:tc>
        <w:tc>
          <w:tcPr>
            <w:tcW w:w="341" w:type="pct"/>
            <w:tcBorders>
              <w:top w:val="nil"/>
              <w:left w:val="nil"/>
              <w:bottom w:val="single" w:sz="4" w:space="0" w:color="auto"/>
              <w:right w:val="single" w:sz="4" w:space="0" w:color="auto"/>
            </w:tcBorders>
            <w:shd w:val="clear" w:color="000000" w:fill="FDE9D9"/>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sz w:val="16"/>
                <w:szCs w:val="16"/>
              </w:rPr>
            </w:pPr>
            <w:r w:rsidRPr="00DB24BD">
              <w:rPr>
                <w:rFonts w:eastAsia="Times New Roman" w:cstheme="minorHAnsi"/>
                <w:sz w:val="16"/>
                <w:szCs w:val="16"/>
              </w:rPr>
              <w:t>2022-2025 Forecast (July 2021)</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-4 595,9</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-3 925,0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-2 796,0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-2 093,0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-2 049,0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-2 049,0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-4 520,3</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-3 922,1</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-2 792,0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-2 112,0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-2 023,0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-2 018,0</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color w:val="305496"/>
                <w:sz w:val="16"/>
                <w:szCs w:val="16"/>
              </w:rPr>
            </w:pPr>
            <w:r w:rsidRPr="00DB24BD">
              <w:rPr>
                <w:rFonts w:eastAsia="Times New Roman" w:cstheme="minorHAnsi"/>
                <w:color w:val="203764"/>
                <w:sz w:val="16"/>
                <w:szCs w:val="16"/>
              </w:rPr>
              <w:t>2022-2025 Forecast (</w:t>
            </w:r>
            <w:r w:rsidR="00765F91">
              <w:rPr>
                <w:rFonts w:eastAsia="Times New Roman" w:cstheme="minorHAnsi"/>
                <w:color w:val="203764"/>
                <w:sz w:val="16"/>
                <w:szCs w:val="16"/>
              </w:rPr>
              <w:t>Draft Budget</w:t>
            </w:r>
            <w:r w:rsidRPr="00DB24BD">
              <w:rPr>
                <w:rFonts w:eastAsia="Times New Roman" w:cstheme="minorHAnsi"/>
                <w:color w:val="203764"/>
                <w:sz w:val="16"/>
                <w:szCs w:val="16"/>
              </w:rPr>
              <w:t>2022)</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-4 595,9</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-3 913,0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-2 852,0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-2 079,0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-2 049,0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-2 049,0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-4 525,7</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-3 879,5</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-2 835,4</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-2 070,0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-2 038,0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-2 064,0</w:t>
            </w:r>
          </w:p>
        </w:tc>
      </w:tr>
      <w:tr w:rsidR="004025F5" w:rsidRPr="00DB24BD" w:rsidTr="00765F91">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025F5" w:rsidRPr="00DB24BD" w:rsidTr="00765F91">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F37A22" w:rsidP="004025F5">
            <w:pPr>
              <w:spacing w:after="0" w:line="240" w:lineRule="auto"/>
              <w:jc w:val="center"/>
              <w:rPr>
                <w:rFonts w:eastAsia="Times New Roman" w:cstheme="minorHAnsi"/>
                <w:b/>
                <w:bCs/>
                <w:sz w:val="16"/>
                <w:szCs w:val="16"/>
              </w:rPr>
            </w:pPr>
            <w:r w:rsidRPr="00DB24BD">
              <w:rPr>
                <w:rFonts w:eastAsia="Times New Roman" w:cstheme="minorHAnsi"/>
                <w:b/>
                <w:bCs/>
                <w:sz w:val="16"/>
                <w:szCs w:val="16"/>
              </w:rPr>
              <w:t>% of GDP</w:t>
            </w:r>
          </w:p>
        </w:tc>
      </w:tr>
      <w:tr w:rsidR="004025F5"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F37A22" w:rsidP="004025F5">
            <w:pPr>
              <w:spacing w:after="0" w:line="240" w:lineRule="auto"/>
              <w:rPr>
                <w:rFonts w:eastAsia="Times New Roman" w:cstheme="minorHAnsi"/>
                <w:b/>
                <w:bCs/>
                <w:sz w:val="16"/>
                <w:szCs w:val="16"/>
              </w:rPr>
            </w:pPr>
            <w:r w:rsidRPr="00DB24BD">
              <w:rPr>
                <w:rFonts w:eastAsia="Times New Roman" w:cstheme="minorHAnsi"/>
                <w:b/>
                <w:bCs/>
                <w:sz w:val="16"/>
                <w:szCs w:val="16"/>
              </w:rPr>
              <w:t>Total balance</w:t>
            </w:r>
          </w:p>
        </w:tc>
        <w:tc>
          <w:tcPr>
            <w:tcW w:w="4280" w:type="pct"/>
            <w:gridSpan w:val="12"/>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sz w:val="16"/>
                <w:szCs w:val="16"/>
              </w:rPr>
            </w:pPr>
            <w:r w:rsidRPr="00DB24BD">
              <w:rPr>
                <w:rFonts w:eastAsia="Times New Roman" w:cstheme="minorHAnsi"/>
                <w:sz w:val="16"/>
                <w:szCs w:val="16"/>
              </w:rPr>
              <w:t>2021-2024 Forecast (December 2020)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-8,5%</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-7,5%</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-4,1%</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-2,9%</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-2,4%</w:t>
            </w:r>
          </w:p>
        </w:tc>
        <w:tc>
          <w:tcPr>
            <w:tcW w:w="341" w:type="pct"/>
            <w:tcBorders>
              <w:top w:val="nil"/>
              <w:left w:val="nil"/>
              <w:bottom w:val="single" w:sz="4" w:space="0" w:color="auto"/>
              <w:right w:val="single" w:sz="4" w:space="0" w:color="auto"/>
            </w:tcBorders>
            <w:shd w:val="clear" w:color="000000" w:fill="FCE4D6"/>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 </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-8,5%</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-7,7%</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-2,9%</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-2,4%</w:t>
            </w:r>
          </w:p>
        </w:tc>
        <w:tc>
          <w:tcPr>
            <w:tcW w:w="341" w:type="pct"/>
            <w:tcBorders>
              <w:top w:val="nil"/>
              <w:left w:val="nil"/>
              <w:bottom w:val="single" w:sz="4" w:space="0" w:color="auto"/>
              <w:right w:val="single" w:sz="4" w:space="0" w:color="auto"/>
            </w:tcBorders>
            <w:shd w:val="clear" w:color="000000" w:fill="FCE4D6"/>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sz w:val="16"/>
                <w:szCs w:val="16"/>
              </w:rPr>
            </w:pPr>
            <w:r w:rsidRPr="00DB24BD">
              <w:rPr>
                <w:rFonts w:eastAsia="Times New Roman" w:cstheme="minorHAnsi"/>
                <w:sz w:val="16"/>
                <w:szCs w:val="16"/>
              </w:rPr>
              <w:t>2022-2025 Forecast (July 2021)</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-9,3%</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-7,0%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-4,2%</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-2,8%</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-2,5%</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-2,3%</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-9,0%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-6,9%</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-4,1%</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-2,8%</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-2,5%</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-2,3%</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color w:val="305496"/>
                <w:sz w:val="16"/>
                <w:szCs w:val="16"/>
              </w:rPr>
            </w:pPr>
            <w:r w:rsidRPr="00DB24BD">
              <w:rPr>
                <w:rFonts w:eastAsia="Times New Roman" w:cstheme="minorHAnsi"/>
                <w:color w:val="203764"/>
                <w:sz w:val="16"/>
                <w:szCs w:val="16"/>
              </w:rPr>
              <w:t>2022-2025 Forecast (</w:t>
            </w:r>
            <w:r w:rsidR="00765F91">
              <w:rPr>
                <w:rFonts w:eastAsia="Times New Roman" w:cstheme="minorHAnsi"/>
                <w:color w:val="203764"/>
                <w:sz w:val="16"/>
                <w:szCs w:val="16"/>
              </w:rPr>
              <w:t>Draft Budget</w:t>
            </w:r>
            <w:r w:rsidRPr="00DB24BD">
              <w:rPr>
                <w:rFonts w:eastAsia="Times New Roman" w:cstheme="minorHAnsi"/>
                <w:color w:val="203764"/>
                <w:sz w:val="16"/>
                <w:szCs w:val="16"/>
              </w:rPr>
              <w:t>2022)</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-9,3%</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-6,8%</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-4,3%</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-2,8%</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-2,5%</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-2,3%</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-9,0%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-6,7%</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-4,2%</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-2,8%</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-2,5%</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-2,4%</w:t>
            </w:r>
          </w:p>
        </w:tc>
      </w:tr>
      <w:tr w:rsidR="004025F5" w:rsidRPr="00DB24BD" w:rsidTr="00765F91">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025F5"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025F5" w:rsidRPr="00DB24BD" w:rsidRDefault="00F37A22" w:rsidP="004025F5">
            <w:pPr>
              <w:spacing w:after="0" w:line="240" w:lineRule="auto"/>
              <w:rPr>
                <w:rFonts w:eastAsia="Times New Roman" w:cstheme="minorHAnsi"/>
                <w:b/>
                <w:bCs/>
                <w:sz w:val="16"/>
                <w:szCs w:val="16"/>
              </w:rPr>
            </w:pPr>
            <w:r w:rsidRPr="00DB24BD">
              <w:rPr>
                <w:rFonts w:eastAsia="Times New Roman" w:cstheme="minorHAnsi"/>
                <w:b/>
                <w:bCs/>
                <w:sz w:val="16"/>
                <w:szCs w:val="16"/>
              </w:rPr>
              <w:t>Modified deficit (IMF program)</w:t>
            </w:r>
          </w:p>
        </w:tc>
        <w:tc>
          <w:tcPr>
            <w:tcW w:w="4280" w:type="pct"/>
            <w:gridSpan w:val="12"/>
            <w:tcBorders>
              <w:top w:val="single" w:sz="4" w:space="0" w:color="auto"/>
              <w:left w:val="nil"/>
              <w:bottom w:val="single" w:sz="4" w:space="0" w:color="auto"/>
              <w:right w:val="single" w:sz="4" w:space="0" w:color="auto"/>
            </w:tcBorders>
            <w:shd w:val="clear" w:color="auto" w:fill="auto"/>
            <w:noWrap/>
            <w:vAlign w:val="center"/>
            <w:hideMark/>
          </w:tcPr>
          <w:p w:rsidR="004025F5" w:rsidRPr="00DB24BD" w:rsidRDefault="004025F5" w:rsidP="004025F5">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sz w:val="16"/>
                <w:szCs w:val="16"/>
              </w:rPr>
            </w:pPr>
            <w:r w:rsidRPr="00DB24BD">
              <w:rPr>
                <w:rFonts w:eastAsia="Times New Roman" w:cstheme="minorHAnsi"/>
                <w:sz w:val="16"/>
                <w:szCs w:val="16"/>
              </w:rPr>
              <w:t>2021-2024 Forecast (December 2020)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-9,1%</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-7,6%</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-4,4%</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-3,1%</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-2,6%</w:t>
            </w:r>
          </w:p>
        </w:tc>
        <w:tc>
          <w:tcPr>
            <w:tcW w:w="341" w:type="pct"/>
            <w:tcBorders>
              <w:top w:val="nil"/>
              <w:left w:val="nil"/>
              <w:bottom w:val="single" w:sz="4" w:space="0" w:color="auto"/>
              <w:right w:val="single" w:sz="4" w:space="0" w:color="auto"/>
            </w:tcBorders>
            <w:shd w:val="clear" w:color="000000" w:fill="FCE4D6"/>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 </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-9,1%</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-7,9%</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-4,3%</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-3,1%</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-2,6%</w:t>
            </w:r>
          </w:p>
        </w:tc>
        <w:tc>
          <w:tcPr>
            <w:tcW w:w="341" w:type="pct"/>
            <w:tcBorders>
              <w:top w:val="nil"/>
              <w:left w:val="nil"/>
              <w:bottom w:val="single" w:sz="4" w:space="0" w:color="auto"/>
              <w:right w:val="single" w:sz="4" w:space="0" w:color="auto"/>
            </w:tcBorders>
            <w:shd w:val="clear" w:color="000000" w:fill="FCE4D6"/>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 </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sz w:val="16"/>
                <w:szCs w:val="16"/>
              </w:rPr>
            </w:pPr>
            <w:r w:rsidRPr="00DB24BD">
              <w:rPr>
                <w:rFonts w:eastAsia="Times New Roman" w:cstheme="minorHAnsi"/>
                <w:sz w:val="16"/>
                <w:szCs w:val="16"/>
              </w:rPr>
              <w:t>2022-2025 Forecast (July 2021)</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-9,3%</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-6,9%</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-4,4%</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-3,0%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-2,7%</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-2,5%</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-9,1%</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-6,9%</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-4,4%</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-3,0%</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-2,7%</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sz w:val="16"/>
                <w:szCs w:val="16"/>
              </w:rPr>
            </w:pPr>
            <w:r w:rsidRPr="00DB24BD">
              <w:rPr>
                <w:rFonts w:eastAsia="Times New Roman" w:cstheme="minorHAnsi"/>
                <w:sz w:val="16"/>
                <w:szCs w:val="16"/>
              </w:rPr>
              <w:t>-2,5%</w:t>
            </w:r>
          </w:p>
        </w:tc>
      </w:tr>
      <w:tr w:rsidR="00410C6F" w:rsidRPr="00DB24BD" w:rsidTr="00765F91">
        <w:trPr>
          <w:trHeight w:val="113"/>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410C6F" w:rsidRPr="00DB24BD" w:rsidRDefault="00410C6F" w:rsidP="00410C6F">
            <w:pPr>
              <w:spacing w:after="0" w:line="240" w:lineRule="auto"/>
              <w:ind w:firstLineChars="100" w:firstLine="160"/>
              <w:rPr>
                <w:rFonts w:eastAsia="Times New Roman" w:cstheme="minorHAnsi"/>
                <w:color w:val="305496"/>
                <w:sz w:val="16"/>
                <w:szCs w:val="16"/>
              </w:rPr>
            </w:pPr>
            <w:r w:rsidRPr="00DB24BD">
              <w:rPr>
                <w:rFonts w:eastAsia="Times New Roman" w:cstheme="minorHAnsi"/>
                <w:color w:val="203764"/>
                <w:sz w:val="16"/>
                <w:szCs w:val="16"/>
              </w:rPr>
              <w:t>2022-2025 Forecast (</w:t>
            </w:r>
            <w:r w:rsidR="00765F91">
              <w:rPr>
                <w:rFonts w:eastAsia="Times New Roman" w:cstheme="minorHAnsi"/>
                <w:color w:val="203764"/>
                <w:sz w:val="16"/>
                <w:szCs w:val="16"/>
              </w:rPr>
              <w:t>Draft Budget</w:t>
            </w:r>
            <w:r w:rsidRPr="00DB24BD">
              <w:rPr>
                <w:rFonts w:eastAsia="Times New Roman" w:cstheme="minorHAnsi"/>
                <w:color w:val="203764"/>
                <w:sz w:val="16"/>
                <w:szCs w:val="16"/>
              </w:rPr>
              <w:t>2022)</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-9,3%</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-6,7%</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-4,4%</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-3,0%</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-2,7%</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-2,5%</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-9,2%</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-6,6%</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-4,4%</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-2,9%</w:t>
            </w:r>
          </w:p>
        </w:tc>
        <w:tc>
          <w:tcPr>
            <w:tcW w:w="378"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-2,7%</w:t>
            </w:r>
          </w:p>
        </w:tc>
        <w:tc>
          <w:tcPr>
            <w:tcW w:w="341" w:type="pct"/>
            <w:tcBorders>
              <w:top w:val="nil"/>
              <w:left w:val="nil"/>
              <w:bottom w:val="single" w:sz="4" w:space="0" w:color="auto"/>
              <w:right w:val="single" w:sz="4" w:space="0" w:color="auto"/>
            </w:tcBorders>
            <w:shd w:val="clear" w:color="auto" w:fill="auto"/>
            <w:noWrap/>
            <w:vAlign w:val="center"/>
            <w:hideMark/>
          </w:tcPr>
          <w:p w:rsidR="00410C6F" w:rsidRPr="00DB24BD" w:rsidRDefault="00410C6F" w:rsidP="00410C6F">
            <w:pPr>
              <w:spacing w:after="0" w:line="240" w:lineRule="auto"/>
              <w:jc w:val="center"/>
              <w:rPr>
                <w:rFonts w:eastAsia="Times New Roman" w:cstheme="minorHAnsi"/>
                <w:color w:val="1F4E78"/>
                <w:sz w:val="16"/>
                <w:szCs w:val="16"/>
              </w:rPr>
            </w:pPr>
            <w:r w:rsidRPr="00DB24BD">
              <w:rPr>
                <w:rFonts w:eastAsia="Times New Roman" w:cstheme="minorHAnsi"/>
                <w:color w:val="1F4E78"/>
                <w:sz w:val="16"/>
                <w:szCs w:val="16"/>
              </w:rPr>
              <w:t>-2,5%</w:t>
            </w:r>
          </w:p>
        </w:tc>
      </w:tr>
    </w:tbl>
    <w:p w:rsidR="001C2D22" w:rsidRPr="00DB24BD" w:rsidRDefault="001C2D22"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Theme="minorHAnsi" w:hAnsiTheme="minorHAnsi" w:cstheme="minorHAnsi"/>
          <w:b/>
          <w:bCs/>
          <w:noProof/>
          <w:lang w:val="ka-GE"/>
        </w:rPr>
      </w:pPr>
    </w:p>
    <w:p w:rsidR="00335BCF" w:rsidRPr="00DB24BD" w:rsidRDefault="00335BCF" w:rsidP="003A2E8C">
      <w:pPr>
        <w:rPr>
          <w:rFonts w:cstheme="minorHAnsi"/>
          <w:b/>
          <w:i/>
          <w:sz w:val="24"/>
          <w:szCs w:val="24"/>
          <w:u w:val="single"/>
        </w:rPr>
      </w:pPr>
    </w:p>
    <w:p w:rsidR="006A057A" w:rsidRPr="00DB24BD" w:rsidRDefault="006A057A" w:rsidP="003A2E8C">
      <w:pPr>
        <w:rPr>
          <w:rFonts w:cstheme="minorHAnsi"/>
          <w:b/>
          <w:i/>
          <w:sz w:val="24"/>
          <w:szCs w:val="24"/>
          <w:u w:val="single"/>
        </w:rPr>
      </w:pPr>
    </w:p>
    <w:p w:rsidR="00E62DDE" w:rsidRPr="00DB24BD" w:rsidRDefault="00B030A6" w:rsidP="00E62DDE">
      <w:pPr>
        <w:pStyle w:val="Heading1"/>
        <w:numPr>
          <w:ilvl w:val="0"/>
          <w:numId w:val="1"/>
        </w:numPr>
        <w:spacing w:line="276" w:lineRule="auto"/>
        <w:rPr>
          <w:rFonts w:asciiTheme="minorHAnsi" w:hAnsiTheme="minorHAnsi" w:cstheme="minorHAnsi"/>
          <w:b/>
          <w:sz w:val="24"/>
          <w:szCs w:val="24"/>
          <w:lang w:val="ka-GE"/>
        </w:rPr>
      </w:pPr>
      <w:bookmarkStart w:id="11" w:name="_Toc104550022"/>
      <w:r w:rsidRPr="00DB24BD">
        <w:rPr>
          <w:rFonts w:asciiTheme="minorHAnsi" w:hAnsiTheme="minorHAnsi" w:cstheme="minorHAnsi"/>
          <w:b/>
          <w:sz w:val="24"/>
          <w:szCs w:val="24"/>
        </w:rPr>
        <w:t>Government Debt</w:t>
      </w:r>
      <w:bookmarkEnd w:id="11"/>
    </w:p>
    <w:p w:rsidR="00813D57" w:rsidRPr="00DB24BD" w:rsidRDefault="00813D57" w:rsidP="00813D57">
      <w:pPr>
        <w:rPr>
          <w:rFonts w:cstheme="minorHAnsi"/>
          <w:sz w:val="24"/>
          <w:szCs w:val="24"/>
          <w:lang w:val="ka-GE"/>
        </w:rPr>
      </w:pPr>
    </w:p>
    <w:tbl>
      <w:tblPr>
        <w:tblW w:w="5000" w:type="pct"/>
        <w:tblLook w:val="04A0" w:firstRow="1" w:lastRow="0" w:firstColumn="1" w:lastColumn="0" w:noHBand="0" w:noVBand="1"/>
      </w:tblPr>
      <w:tblGrid>
        <w:gridCol w:w="4801"/>
        <w:gridCol w:w="921"/>
        <w:gridCol w:w="921"/>
        <w:gridCol w:w="921"/>
        <w:gridCol w:w="921"/>
        <w:gridCol w:w="921"/>
        <w:gridCol w:w="921"/>
      </w:tblGrid>
      <w:tr w:rsidR="00F61572" w:rsidRPr="00DB24BD" w:rsidTr="00F61572">
        <w:trPr>
          <w:trHeight w:val="510"/>
        </w:trPr>
        <w:tc>
          <w:tcPr>
            <w:tcW w:w="2324"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F61572" w:rsidRPr="00DB24BD" w:rsidRDefault="00F35C5C" w:rsidP="00F61572">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Government Debt (million GEL</w:t>
            </w:r>
            <w:r w:rsidR="00F61572" w:rsidRPr="00DB24BD">
              <w:rPr>
                <w:rFonts w:eastAsia="Times New Roman" w:cstheme="minorHAnsi"/>
                <w:b/>
                <w:bCs/>
                <w:color w:val="000000"/>
                <w:sz w:val="20"/>
                <w:szCs w:val="20"/>
              </w:rPr>
              <w:t>)</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DB24BD" w:rsidRDefault="00F61572" w:rsidP="00F61572">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2020 </w:t>
            </w:r>
            <w:r w:rsidR="00F35C5C" w:rsidRPr="00DB24BD">
              <w:rPr>
                <w:rFonts w:eastAsia="Times New Roman" w:cstheme="minorHAnsi"/>
                <w:b/>
                <w:bCs/>
                <w:color w:val="000000"/>
                <w:sz w:val="20"/>
                <w:szCs w:val="20"/>
              </w:rPr>
              <w:t>Year</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DB24BD" w:rsidRDefault="00F61572" w:rsidP="00F61572">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2021 </w:t>
            </w:r>
            <w:r w:rsidR="00F35C5C" w:rsidRPr="00DB24BD">
              <w:rPr>
                <w:rFonts w:eastAsia="Times New Roman" w:cstheme="minorHAnsi"/>
                <w:b/>
                <w:bCs/>
                <w:color w:val="000000"/>
                <w:sz w:val="20"/>
                <w:szCs w:val="20"/>
              </w:rPr>
              <w:t>Year</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DB24BD" w:rsidRDefault="00F61572" w:rsidP="00F61572">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2022 </w:t>
            </w:r>
            <w:r w:rsidR="00F35C5C" w:rsidRPr="00DB24BD">
              <w:rPr>
                <w:rFonts w:eastAsia="Times New Roman" w:cstheme="minorHAnsi"/>
                <w:b/>
                <w:bCs/>
                <w:color w:val="000000"/>
                <w:sz w:val="20"/>
                <w:szCs w:val="20"/>
              </w:rPr>
              <w:t>Year</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DB24BD" w:rsidRDefault="00F61572" w:rsidP="00F61572">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2023 </w:t>
            </w:r>
            <w:r w:rsidR="00F35C5C" w:rsidRPr="00DB24BD">
              <w:rPr>
                <w:rFonts w:eastAsia="Times New Roman" w:cstheme="minorHAnsi"/>
                <w:b/>
                <w:bCs/>
                <w:color w:val="000000"/>
                <w:sz w:val="20"/>
                <w:szCs w:val="20"/>
              </w:rPr>
              <w:t>Year</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DB24BD" w:rsidRDefault="00F61572" w:rsidP="00F61572">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2024 </w:t>
            </w:r>
            <w:r w:rsidR="00F35C5C" w:rsidRPr="00DB24BD">
              <w:rPr>
                <w:rFonts w:eastAsia="Times New Roman" w:cstheme="minorHAnsi"/>
                <w:b/>
                <w:bCs/>
                <w:color w:val="000000"/>
                <w:sz w:val="20"/>
                <w:szCs w:val="20"/>
              </w:rPr>
              <w:t>Year</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DB24BD" w:rsidRDefault="00F61572" w:rsidP="00F61572">
            <w:pPr>
              <w:spacing w:after="0" w:line="240" w:lineRule="auto"/>
              <w:jc w:val="center"/>
              <w:rPr>
                <w:rFonts w:eastAsia="Times New Roman" w:cstheme="minorHAnsi"/>
                <w:b/>
                <w:bCs/>
                <w:color w:val="000000"/>
                <w:sz w:val="20"/>
                <w:szCs w:val="20"/>
              </w:rPr>
            </w:pPr>
            <w:r w:rsidRPr="00DB24BD">
              <w:rPr>
                <w:rFonts w:eastAsia="Times New Roman" w:cstheme="minorHAnsi"/>
                <w:b/>
                <w:bCs/>
                <w:color w:val="000000"/>
                <w:sz w:val="20"/>
                <w:szCs w:val="20"/>
              </w:rPr>
              <w:t xml:space="preserve">2025 </w:t>
            </w:r>
            <w:r w:rsidR="00F35C5C" w:rsidRPr="00DB24BD">
              <w:rPr>
                <w:rFonts w:eastAsia="Times New Roman" w:cstheme="minorHAnsi"/>
                <w:b/>
                <w:bCs/>
                <w:color w:val="000000"/>
                <w:sz w:val="20"/>
                <w:szCs w:val="20"/>
              </w:rPr>
              <w:t>Year</w:t>
            </w:r>
          </w:p>
        </w:tc>
      </w:tr>
      <w:tr w:rsidR="00F61572" w:rsidRPr="00DB24BD"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DB24BD" w:rsidRDefault="00F35C5C" w:rsidP="00F61572">
            <w:pPr>
              <w:spacing w:after="0" w:line="240" w:lineRule="auto"/>
              <w:jc w:val="both"/>
              <w:rPr>
                <w:rFonts w:eastAsia="Times New Roman" w:cstheme="minorHAnsi"/>
                <w:color w:val="000000"/>
                <w:sz w:val="20"/>
                <w:szCs w:val="20"/>
              </w:rPr>
            </w:pPr>
            <w:r w:rsidRPr="00DB24BD">
              <w:rPr>
                <w:rFonts w:eastAsia="Times New Roman" w:cstheme="minorHAnsi"/>
                <w:color w:val="000000"/>
                <w:sz w:val="20"/>
                <w:szCs w:val="20"/>
                <w:lang w:val="ka-GE"/>
              </w:rPr>
              <w:t>2021-2024 Forecast (December 2020)</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29,569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32,111</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34,119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36,608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color w:val="000000"/>
                <w:sz w:val="20"/>
                <w:szCs w:val="20"/>
              </w:rPr>
            </w:pPr>
            <w:r w:rsidRPr="00DB24BD">
              <w:rPr>
                <w:rFonts w:eastAsia="Times New Roman" w:cstheme="minorHAnsi"/>
                <w:color w:val="000000"/>
                <w:sz w:val="20"/>
                <w:szCs w:val="20"/>
              </w:rPr>
              <w:t>39,504</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 </w:t>
            </w:r>
          </w:p>
        </w:tc>
      </w:tr>
      <w:tr w:rsidR="00F61572" w:rsidRPr="00DB24BD"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DB24BD" w:rsidRDefault="00F35C5C" w:rsidP="00F61572">
            <w:pPr>
              <w:spacing w:after="0" w:line="240" w:lineRule="auto"/>
              <w:ind w:left="720"/>
              <w:jc w:val="both"/>
              <w:rPr>
                <w:rFonts w:eastAsia="Times New Roman" w:cstheme="minorHAnsi"/>
                <w:i/>
                <w:color w:val="000000"/>
                <w:sz w:val="20"/>
                <w:szCs w:val="20"/>
              </w:rPr>
            </w:pPr>
            <w:r w:rsidRPr="00DB24BD">
              <w:rPr>
                <w:rFonts w:eastAsia="Times New Roman" w:cstheme="minorHAnsi"/>
                <w:i/>
                <w:color w:val="000000"/>
                <w:sz w:val="20"/>
                <w:szCs w:val="20"/>
              </w:rPr>
              <w:t>% of GDP</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59.9%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60.1%</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58.6%</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57.8%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57.6%</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 </w:t>
            </w:r>
          </w:p>
        </w:tc>
      </w:tr>
      <w:tr w:rsidR="00F61572" w:rsidRPr="00DB24BD"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DB24BD" w:rsidRDefault="00F35C5C" w:rsidP="00F61572">
            <w:pPr>
              <w:spacing w:after="0" w:line="240" w:lineRule="auto"/>
              <w:jc w:val="both"/>
              <w:rPr>
                <w:rFonts w:eastAsia="Times New Roman" w:cstheme="minorHAnsi"/>
                <w:color w:val="000000"/>
                <w:sz w:val="20"/>
                <w:szCs w:val="20"/>
              </w:rPr>
            </w:pPr>
            <w:r w:rsidRPr="00DB24BD">
              <w:rPr>
                <w:rFonts w:eastAsia="Times New Roman" w:cstheme="minorHAnsi"/>
                <w:color w:val="000000"/>
                <w:sz w:val="20"/>
                <w:szCs w:val="20"/>
              </w:rPr>
              <w:t>2022-2025 Forecast (July 2021)</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30,808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33,598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35,818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37,878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39,877</w:t>
            </w:r>
          </w:p>
        </w:tc>
      </w:tr>
      <w:tr w:rsidR="00F61572" w:rsidRPr="00DB24BD"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DB24BD" w:rsidRDefault="00F35C5C" w:rsidP="00F61572">
            <w:pPr>
              <w:spacing w:after="0" w:line="240" w:lineRule="auto"/>
              <w:ind w:left="720"/>
              <w:jc w:val="both"/>
              <w:rPr>
                <w:rFonts w:eastAsia="Times New Roman" w:cstheme="minorHAnsi"/>
                <w:color w:val="000000"/>
                <w:sz w:val="20"/>
                <w:szCs w:val="20"/>
              </w:rPr>
            </w:pPr>
            <w:r w:rsidRPr="00DB24BD">
              <w:rPr>
                <w:rFonts w:eastAsia="Times New Roman" w:cstheme="minorHAnsi"/>
                <w:i/>
                <w:color w:val="000000"/>
                <w:sz w:val="20"/>
                <w:szCs w:val="20"/>
              </w:rPr>
              <w:t>% of GDP</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60.0%</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53.8%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52.9%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51.3%</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49.9%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48.6%</w:t>
            </w:r>
          </w:p>
        </w:tc>
      </w:tr>
      <w:tr w:rsidR="00F61572" w:rsidRPr="00DB24BD"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DB24BD" w:rsidRDefault="00F61572" w:rsidP="00F35C5C">
            <w:pPr>
              <w:spacing w:after="0" w:line="240" w:lineRule="auto"/>
              <w:jc w:val="both"/>
              <w:rPr>
                <w:rFonts w:eastAsia="Times New Roman" w:cstheme="minorHAnsi"/>
                <w:color w:val="000000"/>
                <w:sz w:val="20"/>
                <w:szCs w:val="20"/>
              </w:rPr>
            </w:pPr>
            <w:r w:rsidRPr="00DB24BD">
              <w:rPr>
                <w:rFonts w:eastAsia="Times New Roman" w:cstheme="minorHAnsi"/>
                <w:color w:val="000000"/>
                <w:sz w:val="20"/>
                <w:szCs w:val="20"/>
              </w:rPr>
              <w:t xml:space="preserve">2022-2025 </w:t>
            </w:r>
            <w:r w:rsidR="00F35C5C" w:rsidRPr="00DB24BD">
              <w:rPr>
                <w:rFonts w:eastAsia="Times New Roman" w:cstheme="minorHAnsi"/>
                <w:color w:val="000000"/>
                <w:sz w:val="20"/>
                <w:szCs w:val="20"/>
              </w:rPr>
              <w:t>years</w:t>
            </w:r>
            <w:r w:rsidRPr="00DB24BD">
              <w:rPr>
                <w:rFonts w:eastAsia="Times New Roman" w:cstheme="minorHAnsi"/>
                <w:color w:val="000000"/>
                <w:sz w:val="20"/>
                <w:szCs w:val="20"/>
              </w:rPr>
              <w:t xml:space="preserve"> (</w:t>
            </w:r>
            <w:r w:rsidR="000D4D6A">
              <w:rPr>
                <w:rFonts w:eastAsia="Times New Roman" w:cstheme="minorHAnsi"/>
                <w:color w:val="000000"/>
                <w:sz w:val="20"/>
                <w:szCs w:val="20"/>
              </w:rPr>
              <w:t>December</w:t>
            </w:r>
            <w:r w:rsidR="00F35C5C" w:rsidRPr="00DB24BD">
              <w:rPr>
                <w:rFonts w:eastAsia="Times New Roman" w:cstheme="minorHAnsi"/>
                <w:color w:val="000000"/>
                <w:sz w:val="20"/>
                <w:szCs w:val="20"/>
              </w:rPr>
              <w:t xml:space="preserve"> 2021)</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lang w:val="ka-GE"/>
              </w:rPr>
            </w:pPr>
            <w:r w:rsidRPr="00DB24BD">
              <w:rPr>
                <w:rFonts w:eastAsia="Times New Roman" w:cstheme="minorHAnsi"/>
                <w:sz w:val="20"/>
                <w:szCs w:val="20"/>
              </w:rPr>
              <w:t>29,905</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33,123</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35,348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37,413</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sz w:val="20"/>
                <w:szCs w:val="20"/>
              </w:rPr>
            </w:pPr>
            <w:r w:rsidRPr="00DB24BD">
              <w:rPr>
                <w:rFonts w:eastAsia="Times New Roman" w:cstheme="minorHAnsi"/>
                <w:sz w:val="20"/>
                <w:szCs w:val="20"/>
              </w:rPr>
              <w:t>39,417</w:t>
            </w:r>
          </w:p>
        </w:tc>
      </w:tr>
      <w:tr w:rsidR="00F61572" w:rsidRPr="00DB24BD"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DB24BD" w:rsidRDefault="00F35C5C" w:rsidP="00F61572">
            <w:pPr>
              <w:spacing w:after="0" w:line="240" w:lineRule="auto"/>
              <w:ind w:left="720"/>
              <w:jc w:val="both"/>
              <w:rPr>
                <w:rFonts w:eastAsia="Times New Roman" w:cstheme="minorHAnsi"/>
                <w:color w:val="000000"/>
                <w:sz w:val="20"/>
                <w:szCs w:val="20"/>
              </w:rPr>
            </w:pPr>
            <w:r w:rsidRPr="00DB24BD">
              <w:rPr>
                <w:rFonts w:eastAsia="Times New Roman" w:cstheme="minorHAnsi"/>
                <w:i/>
                <w:color w:val="000000"/>
                <w:sz w:val="20"/>
                <w:szCs w:val="20"/>
              </w:rPr>
              <w:lastRenderedPageBreak/>
              <w:t>% of GDP</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60.2%</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w:t>
            </w:r>
            <w:r w:rsidRPr="00DB24BD">
              <w:rPr>
                <w:rFonts w:eastAsia="Times New Roman" w:cstheme="minorHAnsi"/>
                <w:i/>
                <w:color w:val="000000"/>
                <w:sz w:val="20"/>
                <w:szCs w:val="20"/>
              </w:rPr>
              <w:t>1</w:t>
            </w:r>
            <w:r w:rsidRPr="00DB24BD">
              <w:rPr>
                <w:rFonts w:eastAsia="Times New Roman" w:cstheme="minorHAnsi"/>
                <w:i/>
                <w:color w:val="000000"/>
                <w:sz w:val="20"/>
                <w:szCs w:val="20"/>
                <w:lang w:val="ka-GE"/>
              </w:rPr>
              <w:t>.</w:t>
            </w:r>
            <w:r w:rsidRPr="00DB24BD">
              <w:rPr>
                <w:rFonts w:eastAsia="Times New Roman" w:cstheme="minorHAnsi"/>
                <w:i/>
                <w:color w:val="000000"/>
                <w:sz w:val="20"/>
                <w:szCs w:val="20"/>
              </w:rPr>
              <w:t>1</w:t>
            </w:r>
            <w:r w:rsidRPr="00DB24BD">
              <w:rPr>
                <w:rFonts w:eastAsia="Times New Roman" w:cstheme="minorHAnsi"/>
                <w:i/>
                <w:color w:val="000000"/>
                <w:sz w:val="20"/>
                <w:szCs w:val="20"/>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w:t>
            </w:r>
            <w:r w:rsidRPr="00DB24BD">
              <w:rPr>
                <w:rFonts w:eastAsia="Times New Roman" w:cstheme="minorHAnsi"/>
                <w:i/>
                <w:color w:val="000000"/>
                <w:sz w:val="20"/>
                <w:szCs w:val="20"/>
              </w:rPr>
              <w:t>1</w:t>
            </w:r>
            <w:r w:rsidRPr="00DB24BD">
              <w:rPr>
                <w:rFonts w:eastAsia="Times New Roman" w:cstheme="minorHAnsi"/>
                <w:i/>
                <w:color w:val="000000"/>
                <w:sz w:val="20"/>
                <w:szCs w:val="20"/>
                <w:lang w:val="ka-GE"/>
              </w:rPr>
              <w:t>.</w:t>
            </w:r>
            <w:r w:rsidRPr="00DB24BD">
              <w:rPr>
                <w:rFonts w:eastAsia="Times New Roman" w:cstheme="minorHAnsi"/>
                <w:i/>
                <w:color w:val="000000"/>
                <w:sz w:val="20"/>
                <w:szCs w:val="20"/>
              </w:rPr>
              <w:t>1</w:t>
            </w:r>
            <w:r w:rsidRPr="00DB24BD">
              <w:rPr>
                <w:rFonts w:eastAsia="Times New Roman" w:cstheme="minorHAnsi"/>
                <w:i/>
                <w:color w:val="000000"/>
                <w:sz w:val="20"/>
                <w:szCs w:val="20"/>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5</w:t>
            </w:r>
            <w:r w:rsidRPr="00DB24BD">
              <w:rPr>
                <w:rFonts w:eastAsia="Times New Roman" w:cstheme="minorHAnsi"/>
                <w:i/>
                <w:color w:val="000000"/>
                <w:sz w:val="20"/>
                <w:szCs w:val="20"/>
              </w:rPr>
              <w:t>0</w:t>
            </w:r>
            <w:r w:rsidRPr="00DB24BD">
              <w:rPr>
                <w:rFonts w:eastAsia="Times New Roman" w:cstheme="minorHAnsi"/>
                <w:i/>
                <w:color w:val="000000"/>
                <w:sz w:val="20"/>
                <w:szCs w:val="20"/>
                <w:lang w:val="ka-GE"/>
              </w:rPr>
              <w:t>.2%</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rPr>
              <w:t>49</w:t>
            </w:r>
            <w:r w:rsidRPr="00DB24BD">
              <w:rPr>
                <w:rFonts w:eastAsia="Times New Roman" w:cstheme="minorHAnsi"/>
                <w:i/>
                <w:color w:val="000000"/>
                <w:sz w:val="20"/>
                <w:szCs w:val="20"/>
                <w:lang w:val="ka-GE"/>
              </w:rPr>
              <w:t>.</w:t>
            </w:r>
            <w:r w:rsidRPr="00DB24BD">
              <w:rPr>
                <w:rFonts w:eastAsia="Times New Roman" w:cstheme="minorHAnsi"/>
                <w:i/>
                <w:color w:val="000000"/>
                <w:sz w:val="20"/>
                <w:szCs w:val="20"/>
              </w:rPr>
              <w:t>0</w:t>
            </w:r>
            <w:r w:rsidRPr="00DB24BD">
              <w:rPr>
                <w:rFonts w:eastAsia="Times New Roman" w:cstheme="minorHAnsi"/>
                <w:i/>
                <w:color w:val="000000"/>
                <w:sz w:val="20"/>
                <w:szCs w:val="20"/>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DB24BD" w:rsidRDefault="00F61572" w:rsidP="00F61572">
            <w:pPr>
              <w:spacing w:after="0" w:line="240" w:lineRule="auto"/>
              <w:jc w:val="center"/>
              <w:rPr>
                <w:rFonts w:eastAsia="Times New Roman" w:cstheme="minorHAnsi"/>
                <w:i/>
                <w:color w:val="000000"/>
                <w:sz w:val="20"/>
                <w:szCs w:val="20"/>
              </w:rPr>
            </w:pPr>
            <w:r w:rsidRPr="00DB24BD">
              <w:rPr>
                <w:rFonts w:eastAsia="Times New Roman" w:cstheme="minorHAnsi"/>
                <w:i/>
                <w:color w:val="000000"/>
                <w:sz w:val="20"/>
                <w:szCs w:val="20"/>
                <w:lang w:val="ka-GE"/>
              </w:rPr>
              <w:t>47.7%</w:t>
            </w:r>
          </w:p>
        </w:tc>
      </w:tr>
    </w:tbl>
    <w:p w:rsidR="00B97489" w:rsidRPr="00DB24BD" w:rsidRDefault="00B97489" w:rsidP="0087312E">
      <w:pPr>
        <w:pStyle w:val="NoSpacing"/>
        <w:spacing w:line="276" w:lineRule="auto"/>
        <w:jc w:val="both"/>
        <w:rPr>
          <w:rFonts w:cstheme="minorHAnsi"/>
          <w:sz w:val="24"/>
          <w:szCs w:val="24"/>
          <w:lang w:val="ka-GE"/>
        </w:rPr>
      </w:pPr>
    </w:p>
    <w:p w:rsidR="00B97489" w:rsidRPr="00DB24BD" w:rsidRDefault="00B97489" w:rsidP="00B97489">
      <w:pPr>
        <w:pStyle w:val="NoSpacing"/>
        <w:spacing w:line="276" w:lineRule="auto"/>
        <w:ind w:firstLine="720"/>
        <w:jc w:val="both"/>
        <w:rPr>
          <w:rFonts w:cstheme="minorHAnsi"/>
          <w:sz w:val="24"/>
          <w:szCs w:val="24"/>
        </w:rPr>
      </w:pPr>
      <w:r w:rsidRPr="00DB24BD">
        <w:rPr>
          <w:rFonts w:cstheme="minorHAnsi"/>
          <w:sz w:val="24"/>
          <w:szCs w:val="24"/>
          <w:lang w:val="ka-GE"/>
        </w:rPr>
        <w:t>Changes in Government Debt as defined in the Organic Law on “Economic Liberty Act” compared to the precious forecast is mostly caused</w:t>
      </w:r>
      <w:r w:rsidRPr="00DB24BD">
        <w:rPr>
          <w:rFonts w:cstheme="minorHAnsi"/>
          <w:sz w:val="24"/>
          <w:szCs w:val="24"/>
        </w:rPr>
        <w:t xml:space="preserve"> due to the improvement of economic indicators during 2021. It should be noted that at the end of 2021, the real growth of the economy is expected to be around 10.0%. Also, a change in the GDP deflator is expected at the level of 8.0%. In addition, by the end of 2021, compared to the end of December 2020, the Georgian GEL is expected to strengthen against the currencies in the debt portfolio. It should be noted that the government's foreign net loan for 2021 </w:t>
      </w:r>
      <w:r w:rsidR="0087312E" w:rsidRPr="00DB24BD">
        <w:rPr>
          <w:rFonts w:cstheme="minorHAnsi"/>
          <w:sz w:val="24"/>
          <w:szCs w:val="24"/>
        </w:rPr>
        <w:t>is planned at 2.611 million GEL. Due to the strengthening of the GEL exchange rate, the foreign debt decreased by GEL 2,017 million during this period, which increases the foreign debt by GEL 594 (2,611-7,017 = 594) instead of GEL 2,611 million. All of the above has a positive impact on reducing the ratio of government debt to GDP. As a result, the debt-to-GDP ratio is expected to decline to 51.1% by the end of 2021. The debt-to-GDP ratio is projected to decline in the coming years as well, reaching 47.7% by the end of 2025.</w:t>
      </w:r>
    </w:p>
    <w:p w:rsidR="0087312E" w:rsidRPr="00DB24BD" w:rsidRDefault="0087312E" w:rsidP="00B97489">
      <w:pPr>
        <w:pStyle w:val="NoSpacing"/>
        <w:spacing w:line="276" w:lineRule="auto"/>
        <w:ind w:firstLine="720"/>
        <w:jc w:val="both"/>
        <w:rPr>
          <w:rFonts w:cstheme="minorHAnsi"/>
          <w:sz w:val="24"/>
          <w:szCs w:val="24"/>
          <w:lang w:val="ka-GE"/>
        </w:rPr>
      </w:pPr>
      <w:r w:rsidRPr="00DB24BD">
        <w:rPr>
          <w:rFonts w:cstheme="minorHAnsi"/>
          <w:sz w:val="24"/>
          <w:szCs w:val="24"/>
        </w:rPr>
        <w:t>During 2020, due to the global pandemic and the preparation for a negative economic scenario, donor funding was mobilized for the anti-crisis needs of 2020-2021. As a result, by the end of 2020, the unified account of the Treasury had accumulated a</w:t>
      </w:r>
      <w:r w:rsidR="000D4D6A">
        <w:rPr>
          <w:rFonts w:cstheme="minorHAnsi"/>
          <w:sz w:val="24"/>
          <w:szCs w:val="24"/>
        </w:rPr>
        <w:t xml:space="preserve"> significant volume of balance </w:t>
      </w:r>
      <w:r w:rsidRPr="00DB24BD">
        <w:rPr>
          <w:rFonts w:cstheme="minorHAnsi"/>
          <w:sz w:val="24"/>
          <w:szCs w:val="24"/>
        </w:rPr>
        <w:t>fiscal buffer - 1722 million GEL).</w:t>
      </w:r>
      <w:r w:rsidRPr="00DB24BD">
        <w:rPr>
          <w:rFonts w:cstheme="minorHAnsi"/>
          <w:sz w:val="24"/>
          <w:szCs w:val="24"/>
          <w:lang w:val="ka-GE"/>
        </w:rPr>
        <w:t xml:space="preserve"> The accumulated balance will be used during 2021 (1677 million GEL). Net issuance of treasury securities in the local market is planned at the level of (-300) million GEL, which additionally helps to reduce the amount of government debt.</w:t>
      </w:r>
    </w:p>
    <w:p w:rsidR="00E62DDE" w:rsidRDefault="0087312E" w:rsidP="0087312E">
      <w:pPr>
        <w:pStyle w:val="NoSpacing"/>
        <w:spacing w:line="276" w:lineRule="auto"/>
        <w:ind w:firstLine="720"/>
        <w:jc w:val="both"/>
        <w:rPr>
          <w:rFonts w:cstheme="minorHAnsi"/>
          <w:sz w:val="24"/>
          <w:szCs w:val="24"/>
          <w:lang w:val="ka-GE"/>
        </w:rPr>
      </w:pPr>
      <w:r w:rsidRPr="00DB24BD">
        <w:rPr>
          <w:rFonts w:cstheme="minorHAnsi"/>
          <w:sz w:val="24"/>
          <w:szCs w:val="24"/>
          <w:lang w:val="ka-GE"/>
        </w:rPr>
        <w:t>One of the most important challenges for the government debt portfolio is the high level of external debt share in the debt portfolio (79% by 2020), which makes debt ratios vulnerable to negative exchange rate shocks. Accordingly, the government's debt management policy (in line with the updated public debt strategy being worked on) in the medium to long term, with a reduction in the debt-to-GDP ratio, will focus on reducing the share of external debt in total debt.</w:t>
      </w:r>
    </w:p>
    <w:p w:rsidR="00653CF7" w:rsidRDefault="00653CF7" w:rsidP="0087312E">
      <w:pPr>
        <w:pStyle w:val="NoSpacing"/>
        <w:spacing w:line="276" w:lineRule="auto"/>
        <w:ind w:firstLine="720"/>
        <w:jc w:val="both"/>
        <w:rPr>
          <w:rFonts w:cstheme="minorHAnsi"/>
          <w:sz w:val="24"/>
          <w:szCs w:val="24"/>
          <w:lang w:val="ka-GE"/>
        </w:rPr>
      </w:pPr>
    </w:p>
    <w:p w:rsidR="004A2C00" w:rsidRDefault="004A2C00">
      <w:pPr>
        <w:rPr>
          <w:rFonts w:cstheme="minorHAnsi"/>
          <w:sz w:val="24"/>
          <w:szCs w:val="24"/>
          <w:lang w:val="ka-GE"/>
        </w:rPr>
      </w:pPr>
      <w:r>
        <w:rPr>
          <w:rFonts w:cstheme="minorHAnsi"/>
          <w:sz w:val="24"/>
          <w:szCs w:val="24"/>
          <w:lang w:val="ka-GE"/>
        </w:rPr>
        <w:br w:type="page"/>
      </w:r>
    </w:p>
    <w:p w:rsidR="00653CF7" w:rsidRDefault="00653CF7" w:rsidP="00653CF7">
      <w:pPr>
        <w:pStyle w:val="Heading1"/>
        <w:numPr>
          <w:ilvl w:val="0"/>
          <w:numId w:val="1"/>
        </w:numPr>
        <w:spacing w:line="276" w:lineRule="auto"/>
        <w:rPr>
          <w:rFonts w:asciiTheme="minorHAnsi" w:hAnsiTheme="minorHAnsi" w:cstheme="minorHAnsi"/>
          <w:b/>
          <w:sz w:val="24"/>
          <w:szCs w:val="24"/>
        </w:rPr>
      </w:pPr>
      <w:bookmarkStart w:id="12" w:name="_Toc104550023"/>
      <w:r w:rsidRPr="00653CF7">
        <w:rPr>
          <w:rFonts w:asciiTheme="minorHAnsi" w:hAnsiTheme="minorHAnsi" w:cstheme="minorHAnsi"/>
          <w:b/>
          <w:sz w:val="24"/>
          <w:szCs w:val="24"/>
        </w:rPr>
        <w:lastRenderedPageBreak/>
        <w:t>New Policy Directions</w:t>
      </w:r>
      <w:bookmarkEnd w:id="12"/>
    </w:p>
    <w:p w:rsidR="00653CF7" w:rsidRDefault="00653CF7" w:rsidP="00653CF7"/>
    <w:p w:rsidR="00653CF7" w:rsidRDefault="00653CF7" w:rsidP="00653CF7">
      <w:pPr>
        <w:spacing w:after="0" w:line="276" w:lineRule="auto"/>
        <w:ind w:firstLine="720"/>
        <w:jc w:val="both"/>
        <w:rPr>
          <w:rFonts w:cstheme="minorHAnsi"/>
          <w:lang w:val="en-GB"/>
        </w:rPr>
      </w:pPr>
      <w:r>
        <w:rPr>
          <w:rFonts w:cstheme="minorHAnsi"/>
        </w:rPr>
        <w:t>Basic Data and Direction (BDD) document attached to the 2022 state budget law and the program budget annex includes new po</w:t>
      </w:r>
      <w:r w:rsidRPr="00877C7B">
        <w:rPr>
          <w:rFonts w:cstheme="minorHAnsi"/>
          <w:lang w:val="en-GB"/>
        </w:rPr>
        <w:t>licy directions, which has been identifie</w:t>
      </w:r>
      <w:r>
        <w:rPr>
          <w:rFonts w:cstheme="minorHAnsi"/>
          <w:lang w:val="en-GB"/>
        </w:rPr>
        <w:t>d during the preparation of 2021 and 2022</w:t>
      </w:r>
      <w:r w:rsidRPr="00877C7B">
        <w:rPr>
          <w:rFonts w:cstheme="minorHAnsi"/>
          <w:lang w:val="en-GB"/>
        </w:rPr>
        <w:t xml:space="preserve"> draft State Budget Law package under the Ministry of Economy and Sustainable Development, Ministry of Internally Displaced Persons, Labour, Health and Social Affairs, Ministry of Education, Science, Culture and Sport.  </w:t>
      </w:r>
    </w:p>
    <w:p w:rsidR="00825A89" w:rsidRDefault="00825A89" w:rsidP="00653CF7">
      <w:pPr>
        <w:spacing w:after="0" w:line="276" w:lineRule="auto"/>
        <w:ind w:firstLine="720"/>
        <w:jc w:val="both"/>
        <w:rPr>
          <w:rFonts w:cstheme="minorHAnsi"/>
          <w:lang w:val="en-GB"/>
        </w:rPr>
      </w:pPr>
    </w:p>
    <w:tbl>
      <w:tblPr>
        <w:tblW w:w="5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1392"/>
        <w:gridCol w:w="1392"/>
        <w:gridCol w:w="1392"/>
        <w:gridCol w:w="1392"/>
        <w:gridCol w:w="1785"/>
      </w:tblGrid>
      <w:tr w:rsidR="00825A89" w:rsidRPr="00825A89" w:rsidTr="004A2C00">
        <w:trPr>
          <w:trHeight w:val="113"/>
          <w:tblHeader/>
        </w:trPr>
        <w:tc>
          <w:tcPr>
            <w:tcW w:w="1687" w:type="pct"/>
            <w:shd w:val="clear" w:color="auto" w:fill="auto"/>
            <w:vAlign w:val="center"/>
            <w:hideMark/>
          </w:tcPr>
          <w:p w:rsidR="00825A89" w:rsidRPr="00825A89" w:rsidRDefault="00825A89" w:rsidP="00825A89">
            <w:pPr>
              <w:spacing w:after="0"/>
              <w:jc w:val="center"/>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Ministry</w:t>
            </w:r>
            <w:r w:rsidRPr="00825A89">
              <w:rPr>
                <w:rFonts w:ascii="Sylfaen" w:eastAsia="Times New Roman" w:hAnsi="Sylfaen" w:cs="Calibri"/>
                <w:b/>
                <w:bCs/>
                <w:sz w:val="20"/>
                <w:szCs w:val="20"/>
                <w:lang w:val="en-GB" w:eastAsia="en-GB"/>
              </w:rPr>
              <w:t>/</w:t>
            </w:r>
            <w:r w:rsidRPr="00825A89">
              <w:rPr>
                <w:rFonts w:ascii="Sylfaen" w:eastAsia="Times New Roman" w:hAnsi="Sylfaen" w:cs="Calibri"/>
                <w:b/>
                <w:bCs/>
                <w:sz w:val="20"/>
                <w:szCs w:val="20"/>
                <w:lang w:val="en-GB" w:eastAsia="en-GB"/>
              </w:rPr>
              <w:t>Program</w:t>
            </w:r>
            <w:r w:rsidRPr="00825A89">
              <w:rPr>
                <w:rFonts w:ascii="Sylfaen" w:eastAsia="Times New Roman" w:hAnsi="Sylfaen" w:cs="Calibri"/>
                <w:b/>
                <w:bCs/>
                <w:sz w:val="20"/>
                <w:szCs w:val="20"/>
                <w:lang w:val="en-GB" w:eastAsia="en-GB"/>
              </w:rPr>
              <w:t>/</w:t>
            </w:r>
            <w:r w:rsidRPr="00825A89">
              <w:rPr>
                <w:rFonts w:ascii="Sylfaen" w:eastAsia="Times New Roman" w:hAnsi="Sylfaen" w:cs="Calibri"/>
                <w:b/>
                <w:bCs/>
                <w:sz w:val="20"/>
                <w:szCs w:val="20"/>
                <w:lang w:val="en-GB" w:eastAsia="en-GB"/>
              </w:rPr>
              <w:t>New Policy direction</w:t>
            </w:r>
          </w:p>
        </w:tc>
        <w:tc>
          <w:tcPr>
            <w:tcW w:w="627" w:type="pct"/>
            <w:shd w:val="clear" w:color="auto" w:fill="auto"/>
            <w:vAlign w:val="center"/>
            <w:hideMark/>
          </w:tcPr>
          <w:p w:rsidR="00825A89" w:rsidRPr="00825A89" w:rsidRDefault="00825A89" w:rsidP="001A2AB1">
            <w:pPr>
              <w:spacing w:after="0"/>
              <w:jc w:val="center"/>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2022 plan</w:t>
            </w:r>
          </w:p>
        </w:tc>
        <w:tc>
          <w:tcPr>
            <w:tcW w:w="627" w:type="pct"/>
            <w:shd w:val="clear" w:color="auto" w:fill="auto"/>
            <w:vAlign w:val="center"/>
            <w:hideMark/>
          </w:tcPr>
          <w:p w:rsidR="00825A89" w:rsidRPr="00825A89" w:rsidRDefault="00825A89" w:rsidP="00825A89">
            <w:pPr>
              <w:spacing w:after="0"/>
              <w:jc w:val="center"/>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 xml:space="preserve">2023 </w:t>
            </w:r>
            <w:r w:rsidRPr="00825A89">
              <w:rPr>
                <w:rFonts w:ascii="Sylfaen" w:eastAsia="Times New Roman" w:hAnsi="Sylfaen" w:cs="Calibri"/>
                <w:b/>
                <w:bCs/>
                <w:sz w:val="20"/>
                <w:szCs w:val="20"/>
                <w:lang w:val="en-GB" w:eastAsia="en-GB"/>
              </w:rPr>
              <w:t>forecast</w:t>
            </w:r>
          </w:p>
        </w:tc>
        <w:tc>
          <w:tcPr>
            <w:tcW w:w="627" w:type="pct"/>
            <w:shd w:val="clear" w:color="auto" w:fill="auto"/>
            <w:vAlign w:val="center"/>
            <w:hideMark/>
          </w:tcPr>
          <w:p w:rsidR="00825A89" w:rsidRPr="00825A89" w:rsidRDefault="00825A89" w:rsidP="00825A89">
            <w:pPr>
              <w:spacing w:after="0"/>
              <w:jc w:val="center"/>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 xml:space="preserve">2024 </w:t>
            </w:r>
            <w:r w:rsidRPr="00825A89">
              <w:rPr>
                <w:rFonts w:ascii="Sylfaen" w:eastAsia="Times New Roman" w:hAnsi="Sylfaen" w:cs="Calibri"/>
                <w:b/>
                <w:bCs/>
                <w:sz w:val="20"/>
                <w:szCs w:val="20"/>
                <w:lang w:val="en-GB" w:eastAsia="en-GB"/>
              </w:rPr>
              <w:t>forecast</w:t>
            </w:r>
          </w:p>
        </w:tc>
        <w:tc>
          <w:tcPr>
            <w:tcW w:w="627" w:type="pct"/>
            <w:shd w:val="clear" w:color="auto" w:fill="auto"/>
            <w:vAlign w:val="center"/>
            <w:hideMark/>
          </w:tcPr>
          <w:p w:rsidR="00825A89" w:rsidRPr="00825A89" w:rsidRDefault="00825A89" w:rsidP="00825A89">
            <w:pPr>
              <w:spacing w:after="0"/>
              <w:jc w:val="center"/>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 xml:space="preserve">2025 </w:t>
            </w:r>
            <w:r w:rsidRPr="00825A89">
              <w:rPr>
                <w:rFonts w:ascii="Sylfaen" w:eastAsia="Times New Roman" w:hAnsi="Sylfaen" w:cs="Calibri"/>
                <w:b/>
                <w:bCs/>
                <w:sz w:val="20"/>
                <w:szCs w:val="20"/>
                <w:lang w:val="en-GB" w:eastAsia="en-GB"/>
              </w:rPr>
              <w:t>forecast</w:t>
            </w:r>
          </w:p>
        </w:tc>
        <w:tc>
          <w:tcPr>
            <w:tcW w:w="804" w:type="pct"/>
            <w:shd w:val="clear" w:color="auto" w:fill="auto"/>
            <w:vAlign w:val="center"/>
            <w:hideMark/>
          </w:tcPr>
          <w:p w:rsidR="00825A89" w:rsidRPr="00825A89" w:rsidRDefault="00825A89" w:rsidP="001A2AB1">
            <w:pPr>
              <w:spacing w:after="0"/>
              <w:jc w:val="center"/>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comment</w:t>
            </w:r>
          </w:p>
        </w:tc>
      </w:tr>
      <w:tr w:rsidR="00825A89" w:rsidRPr="00825A89" w:rsidTr="004A2C00">
        <w:trPr>
          <w:trHeight w:val="113"/>
        </w:trPr>
        <w:tc>
          <w:tcPr>
            <w:tcW w:w="1687" w:type="pct"/>
            <w:shd w:val="clear" w:color="auto" w:fill="B4C6E7" w:themeFill="accent5" w:themeFillTint="66"/>
            <w:vAlign w:val="center"/>
            <w:hideMark/>
          </w:tcPr>
          <w:p w:rsidR="00825A89" w:rsidRPr="00825A89" w:rsidRDefault="00825A89" w:rsidP="001A2AB1">
            <w:pPr>
              <w:spacing w:after="0"/>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Minitsry of Economy and Sustainable Development</w:t>
            </w:r>
          </w:p>
        </w:tc>
        <w:tc>
          <w:tcPr>
            <w:tcW w:w="627" w:type="pct"/>
            <w:shd w:val="clear" w:color="auto" w:fill="B4C6E7" w:themeFill="accent5" w:themeFillTint="66"/>
            <w:vAlign w:val="center"/>
            <w:hideMark/>
          </w:tcPr>
          <w:p w:rsidR="00825A89" w:rsidRPr="00825A89" w:rsidRDefault="00825A89" w:rsidP="001A2AB1">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1,037,792.9</w:t>
            </w:r>
          </w:p>
        </w:tc>
        <w:tc>
          <w:tcPr>
            <w:tcW w:w="627" w:type="pct"/>
            <w:shd w:val="clear" w:color="auto" w:fill="B4C6E7" w:themeFill="accent5" w:themeFillTint="66"/>
            <w:vAlign w:val="center"/>
            <w:hideMark/>
          </w:tcPr>
          <w:p w:rsidR="00825A89" w:rsidRPr="00825A89" w:rsidRDefault="00825A89" w:rsidP="001A2AB1">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990,436.0</w:t>
            </w:r>
          </w:p>
        </w:tc>
        <w:tc>
          <w:tcPr>
            <w:tcW w:w="627" w:type="pct"/>
            <w:shd w:val="clear" w:color="auto" w:fill="B4C6E7" w:themeFill="accent5" w:themeFillTint="66"/>
            <w:vAlign w:val="center"/>
            <w:hideMark/>
          </w:tcPr>
          <w:p w:rsidR="00825A89" w:rsidRPr="00825A89" w:rsidRDefault="00825A89" w:rsidP="001A2AB1">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877,838.0</w:t>
            </w:r>
          </w:p>
        </w:tc>
        <w:tc>
          <w:tcPr>
            <w:tcW w:w="627" w:type="pct"/>
            <w:shd w:val="clear" w:color="auto" w:fill="B4C6E7" w:themeFill="accent5" w:themeFillTint="66"/>
            <w:vAlign w:val="center"/>
            <w:hideMark/>
          </w:tcPr>
          <w:p w:rsidR="00825A89" w:rsidRPr="00825A89" w:rsidRDefault="00825A89" w:rsidP="001A2AB1">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768,878.8</w:t>
            </w:r>
          </w:p>
        </w:tc>
        <w:tc>
          <w:tcPr>
            <w:tcW w:w="804" w:type="pct"/>
            <w:shd w:val="clear" w:color="auto" w:fill="B4C6E7" w:themeFill="accent5" w:themeFillTint="66"/>
            <w:vAlign w:val="center"/>
            <w:hideMark/>
          </w:tcPr>
          <w:p w:rsidR="00825A89" w:rsidRPr="00825A89" w:rsidRDefault="00825A89" w:rsidP="001A2AB1">
            <w:pPr>
              <w:spacing w:after="0"/>
              <w:jc w:val="center"/>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 </w:t>
            </w:r>
          </w:p>
        </w:tc>
      </w:tr>
      <w:tr w:rsidR="00825A89" w:rsidRPr="00825A89" w:rsidTr="004A2C00">
        <w:trPr>
          <w:trHeight w:val="113"/>
        </w:trPr>
        <w:tc>
          <w:tcPr>
            <w:tcW w:w="1687" w:type="pct"/>
            <w:shd w:val="clear" w:color="auto" w:fill="auto"/>
            <w:vAlign w:val="center"/>
            <w:hideMark/>
          </w:tcPr>
          <w:p w:rsidR="00825A89" w:rsidRPr="00825A89" w:rsidRDefault="00825A89" w:rsidP="001A2AB1">
            <w:pPr>
              <w:spacing w:after="0"/>
              <w:rPr>
                <w:rFonts w:ascii="Sylfaen" w:eastAsia="Times New Roman" w:hAnsi="Sylfaen" w:cs="Calibri"/>
                <w:b/>
                <w:bCs/>
                <w:sz w:val="20"/>
                <w:szCs w:val="20"/>
                <w:lang w:val="en-GB" w:eastAsia="en-GB"/>
              </w:rPr>
            </w:pPr>
            <w:r w:rsidRPr="00825A89">
              <w:rPr>
                <w:rFonts w:cstheme="minorHAnsi"/>
                <w:b/>
                <w:lang w:val="en-GB"/>
              </w:rPr>
              <w:t>Entrepreneurship Development program</w:t>
            </w:r>
          </w:p>
        </w:tc>
        <w:tc>
          <w:tcPr>
            <w:tcW w:w="627" w:type="pct"/>
            <w:shd w:val="clear" w:color="auto" w:fill="auto"/>
            <w:vAlign w:val="center"/>
            <w:hideMark/>
          </w:tcPr>
          <w:p w:rsidR="00825A89" w:rsidRPr="00825A89" w:rsidRDefault="00825A89" w:rsidP="001A2AB1">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273,486.0</w:t>
            </w:r>
          </w:p>
        </w:tc>
        <w:tc>
          <w:tcPr>
            <w:tcW w:w="627" w:type="pct"/>
            <w:shd w:val="clear" w:color="auto" w:fill="auto"/>
            <w:vAlign w:val="center"/>
            <w:hideMark/>
          </w:tcPr>
          <w:p w:rsidR="00825A89" w:rsidRPr="00825A89" w:rsidRDefault="00825A89" w:rsidP="001A2AB1">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292,630.0</w:t>
            </w:r>
          </w:p>
        </w:tc>
        <w:tc>
          <w:tcPr>
            <w:tcW w:w="627" w:type="pct"/>
            <w:shd w:val="clear" w:color="auto" w:fill="auto"/>
            <w:vAlign w:val="center"/>
            <w:hideMark/>
          </w:tcPr>
          <w:p w:rsidR="00825A89" w:rsidRPr="00825A89" w:rsidRDefault="00825A89" w:rsidP="001A2AB1">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293,263.0</w:t>
            </w:r>
          </w:p>
        </w:tc>
        <w:tc>
          <w:tcPr>
            <w:tcW w:w="627" w:type="pct"/>
            <w:shd w:val="clear" w:color="auto" w:fill="auto"/>
            <w:vAlign w:val="center"/>
            <w:hideMark/>
          </w:tcPr>
          <w:p w:rsidR="00825A89" w:rsidRPr="00825A89" w:rsidRDefault="00825A89" w:rsidP="001A2AB1">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295,297.0</w:t>
            </w:r>
          </w:p>
        </w:tc>
        <w:tc>
          <w:tcPr>
            <w:tcW w:w="804" w:type="pct"/>
            <w:shd w:val="clear" w:color="auto" w:fill="auto"/>
            <w:vAlign w:val="center"/>
            <w:hideMark/>
          </w:tcPr>
          <w:p w:rsidR="00825A89" w:rsidRPr="00825A89" w:rsidRDefault="00825A89" w:rsidP="001A2AB1">
            <w:pPr>
              <w:spacing w:after="0"/>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 </w:t>
            </w:r>
          </w:p>
        </w:tc>
      </w:tr>
      <w:tr w:rsidR="00825A89" w:rsidRPr="00825A89" w:rsidTr="004A2C00">
        <w:trPr>
          <w:trHeight w:val="113"/>
        </w:trPr>
        <w:tc>
          <w:tcPr>
            <w:tcW w:w="1687" w:type="pct"/>
            <w:shd w:val="clear" w:color="auto" w:fill="auto"/>
            <w:vAlign w:val="center"/>
            <w:hideMark/>
          </w:tcPr>
          <w:p w:rsidR="00825A89" w:rsidRPr="00825A89" w:rsidRDefault="00825A89" w:rsidP="00825A89">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To support development sector </w:t>
            </w:r>
            <w:r w:rsidRPr="00877C7B">
              <w:rPr>
                <w:rFonts w:cstheme="minorHAnsi"/>
                <w:lang w:val="en-GB"/>
              </w:rPr>
              <w:t>to</w:t>
            </w:r>
            <w:r w:rsidRPr="00877C7B">
              <w:rPr>
                <w:rFonts w:cstheme="minorHAnsi"/>
                <w:lang w:val="ka-GE"/>
              </w:rPr>
              <w:t xml:space="preserve"> response the New Coronavirus (COVID-19) </w:t>
            </w:r>
            <w:r>
              <w:rPr>
                <w:rFonts w:cstheme="minorHAnsi"/>
              </w:rPr>
              <w:t>pandemic</w:t>
            </w:r>
          </w:p>
        </w:tc>
        <w:tc>
          <w:tcPr>
            <w:tcW w:w="627" w:type="pct"/>
            <w:shd w:val="clear" w:color="auto" w:fill="auto"/>
            <w:vAlign w:val="center"/>
            <w:hideMark/>
          </w:tcPr>
          <w:p w:rsidR="00825A89" w:rsidRPr="00825A89" w:rsidRDefault="00825A89" w:rsidP="001A2AB1">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30,000.0</w:t>
            </w:r>
          </w:p>
        </w:tc>
        <w:tc>
          <w:tcPr>
            <w:tcW w:w="627" w:type="pct"/>
            <w:shd w:val="clear" w:color="auto" w:fill="auto"/>
            <w:vAlign w:val="center"/>
            <w:hideMark/>
          </w:tcPr>
          <w:p w:rsidR="00825A89" w:rsidRPr="00825A89" w:rsidRDefault="00825A89" w:rsidP="001A2AB1">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30,000.0</w:t>
            </w:r>
          </w:p>
        </w:tc>
        <w:tc>
          <w:tcPr>
            <w:tcW w:w="627" w:type="pct"/>
            <w:shd w:val="clear" w:color="auto" w:fill="auto"/>
            <w:vAlign w:val="center"/>
            <w:hideMark/>
          </w:tcPr>
          <w:p w:rsidR="00825A89" w:rsidRPr="00825A89" w:rsidRDefault="00825A89" w:rsidP="001A2AB1">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30,000.0</w:t>
            </w:r>
          </w:p>
        </w:tc>
        <w:tc>
          <w:tcPr>
            <w:tcW w:w="627" w:type="pct"/>
            <w:shd w:val="clear" w:color="auto" w:fill="auto"/>
            <w:vAlign w:val="center"/>
            <w:hideMark/>
          </w:tcPr>
          <w:p w:rsidR="00825A89" w:rsidRPr="00825A89" w:rsidRDefault="00825A89" w:rsidP="001A2AB1">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30,000.0</w:t>
            </w:r>
          </w:p>
        </w:tc>
        <w:tc>
          <w:tcPr>
            <w:tcW w:w="804" w:type="pct"/>
            <w:shd w:val="clear" w:color="auto" w:fill="auto"/>
            <w:vAlign w:val="center"/>
            <w:hideMark/>
          </w:tcPr>
          <w:p w:rsidR="00825A89" w:rsidRPr="00825A89" w:rsidRDefault="00825A89" w:rsidP="00825A89">
            <w:pPr>
              <w:spacing w:after="0"/>
              <w:jc w:val="center"/>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New policy directions reflected in </w:t>
            </w:r>
            <w:r w:rsidRPr="00825A89">
              <w:rPr>
                <w:rFonts w:ascii="Sylfaen" w:eastAsia="Times New Roman" w:hAnsi="Sylfaen" w:cs="Calibri"/>
                <w:sz w:val="20"/>
                <w:szCs w:val="20"/>
                <w:lang w:val="en-GB" w:eastAsia="en-GB"/>
              </w:rPr>
              <w:t xml:space="preserve">2021-2024 </w:t>
            </w:r>
            <w:r>
              <w:rPr>
                <w:rFonts w:ascii="Sylfaen" w:eastAsia="Times New Roman" w:hAnsi="Sylfaen" w:cs="Calibri"/>
                <w:sz w:val="20"/>
                <w:szCs w:val="20"/>
                <w:lang w:val="en-GB" w:eastAsia="en-GB"/>
              </w:rPr>
              <w:t>BDD document</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New policy direction to support entreprenership </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185,000.0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208,950.0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218,920.0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260,720.0</w:t>
            </w:r>
          </w:p>
        </w:tc>
        <w:tc>
          <w:tcPr>
            <w:tcW w:w="804" w:type="pc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New policy directions reflected in </w:t>
            </w:r>
            <w:r w:rsidRPr="00825A89">
              <w:rPr>
                <w:rFonts w:ascii="Sylfaen" w:eastAsia="Times New Roman" w:hAnsi="Sylfaen" w:cs="Calibri"/>
                <w:sz w:val="20"/>
                <w:szCs w:val="20"/>
                <w:lang w:val="en-GB" w:eastAsia="en-GB"/>
              </w:rPr>
              <w:t>202</w:t>
            </w:r>
            <w:r>
              <w:rPr>
                <w:rFonts w:ascii="Sylfaen" w:eastAsia="Times New Roman" w:hAnsi="Sylfaen" w:cs="Calibri"/>
                <w:sz w:val="20"/>
                <w:szCs w:val="20"/>
                <w:lang w:val="en-GB" w:eastAsia="en-GB"/>
              </w:rPr>
              <w:t>2-2025</w:t>
            </w:r>
            <w:r w:rsidRPr="00825A89">
              <w:rPr>
                <w:rFonts w:ascii="Sylfaen" w:eastAsia="Times New Roman" w:hAnsi="Sylfaen" w:cs="Calibri"/>
                <w:sz w:val="20"/>
                <w:szCs w:val="20"/>
                <w:lang w:val="en-GB" w:eastAsia="en-GB"/>
              </w:rPr>
              <w:t xml:space="preserve"> </w:t>
            </w:r>
            <w:r>
              <w:rPr>
                <w:rFonts w:ascii="Sylfaen" w:eastAsia="Times New Roman" w:hAnsi="Sylfaen" w:cs="Calibri"/>
                <w:sz w:val="20"/>
                <w:szCs w:val="20"/>
                <w:lang w:val="en-GB" w:eastAsia="en-GB"/>
              </w:rPr>
              <w:t>BDD document</w:t>
            </w:r>
          </w:p>
        </w:tc>
      </w:tr>
      <w:tr w:rsidR="004A2C00" w:rsidRPr="00825A89" w:rsidTr="004A2C00">
        <w:trPr>
          <w:trHeight w:val="113"/>
        </w:trPr>
        <w:tc>
          <w:tcPr>
            <w:tcW w:w="1687" w:type="pct"/>
            <w:shd w:val="clear" w:color="auto" w:fill="B4C6E7" w:themeFill="accent5" w:themeFillTint="66"/>
            <w:vAlign w:val="center"/>
            <w:hideMark/>
          </w:tcPr>
          <w:p w:rsidR="0063179B" w:rsidRPr="00825A89" w:rsidRDefault="0063179B" w:rsidP="0063179B">
            <w:pPr>
              <w:spacing w:after="0"/>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 xml:space="preserve">Ministry of Internaly displaced people, Labour, Health and Social affairs </w:t>
            </w:r>
          </w:p>
        </w:tc>
        <w:tc>
          <w:tcPr>
            <w:tcW w:w="627" w:type="pct"/>
            <w:shd w:val="clear" w:color="auto" w:fill="B4C6E7" w:themeFill="accent5" w:themeFillTint="66"/>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6,029,145.8</w:t>
            </w:r>
          </w:p>
        </w:tc>
        <w:tc>
          <w:tcPr>
            <w:tcW w:w="627" w:type="pct"/>
            <w:shd w:val="clear" w:color="auto" w:fill="B4C6E7" w:themeFill="accent5" w:themeFillTint="66"/>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6,043,741.0</w:t>
            </w:r>
          </w:p>
        </w:tc>
        <w:tc>
          <w:tcPr>
            <w:tcW w:w="627" w:type="pct"/>
            <w:shd w:val="clear" w:color="auto" w:fill="B4C6E7" w:themeFill="accent5" w:themeFillTint="66"/>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6,354,223.0</w:t>
            </w:r>
          </w:p>
        </w:tc>
        <w:tc>
          <w:tcPr>
            <w:tcW w:w="627" w:type="pct"/>
            <w:shd w:val="clear" w:color="auto" w:fill="B4C6E7" w:themeFill="accent5" w:themeFillTint="66"/>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6,771,208.0</w:t>
            </w:r>
          </w:p>
        </w:tc>
        <w:tc>
          <w:tcPr>
            <w:tcW w:w="804"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 </w:t>
            </w:r>
          </w:p>
        </w:tc>
      </w:tr>
      <w:tr w:rsidR="0063179B" w:rsidRPr="00825A89" w:rsidTr="004A2C00">
        <w:trPr>
          <w:trHeight w:val="113"/>
        </w:trPr>
        <w:tc>
          <w:tcPr>
            <w:tcW w:w="1687" w:type="pct"/>
            <w:shd w:val="clear" w:color="auto" w:fill="auto"/>
            <w:vAlign w:val="center"/>
            <w:hideMark/>
          </w:tcPr>
          <w:p w:rsidR="0063179B" w:rsidRPr="00825A89" w:rsidRDefault="0063179B" w:rsidP="0063179B">
            <w:pPr>
              <w:spacing w:after="0"/>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Social Protection program</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4,021,210.0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4,300,000.0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4,600,000.0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4,900,000.0</w:t>
            </w:r>
          </w:p>
        </w:tc>
        <w:tc>
          <w:tcPr>
            <w:tcW w:w="804" w:type="pct"/>
            <w:shd w:val="clear" w:color="auto" w:fill="auto"/>
            <w:vAlign w:val="center"/>
            <w:hideMark/>
          </w:tcPr>
          <w:p w:rsidR="0063179B" w:rsidRPr="00825A89" w:rsidRDefault="0063179B" w:rsidP="0063179B">
            <w:pPr>
              <w:spacing w:after="0"/>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 </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Incl: </w:t>
            </w:r>
            <w:r>
              <w:rPr>
                <w:rFonts w:ascii="Sylfaen" w:eastAsia="Times New Roman" w:hAnsi="Sylfaen" w:cs="Calibri"/>
                <w:sz w:val="20"/>
                <w:szCs w:val="20"/>
                <w:lang w:val="en-GB" w:eastAsia="en-GB"/>
              </w:rPr>
              <w:t>Pension Indexation</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500,000.0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800,000.0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1,100,000.0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1,400,000.0</w:t>
            </w:r>
          </w:p>
        </w:tc>
        <w:tc>
          <w:tcPr>
            <w:tcW w:w="804" w:type="pct"/>
            <w:vMerge w:val="restar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New policy directions reflected in </w:t>
            </w:r>
            <w:r w:rsidRPr="00825A89">
              <w:rPr>
                <w:rFonts w:ascii="Sylfaen" w:eastAsia="Times New Roman" w:hAnsi="Sylfaen" w:cs="Calibri"/>
                <w:sz w:val="20"/>
                <w:szCs w:val="20"/>
                <w:lang w:val="en-GB" w:eastAsia="en-GB"/>
              </w:rPr>
              <w:t>202</w:t>
            </w:r>
            <w:r>
              <w:rPr>
                <w:rFonts w:ascii="Sylfaen" w:eastAsia="Times New Roman" w:hAnsi="Sylfaen" w:cs="Calibri"/>
                <w:sz w:val="20"/>
                <w:szCs w:val="20"/>
                <w:lang w:val="en-GB" w:eastAsia="en-GB"/>
              </w:rPr>
              <w:t>1-2024</w:t>
            </w:r>
            <w:r w:rsidRPr="00825A89">
              <w:rPr>
                <w:rFonts w:ascii="Sylfaen" w:eastAsia="Times New Roman" w:hAnsi="Sylfaen" w:cs="Calibri"/>
                <w:sz w:val="20"/>
                <w:szCs w:val="20"/>
                <w:lang w:val="en-GB" w:eastAsia="en-GB"/>
              </w:rPr>
              <w:t xml:space="preserve"> </w:t>
            </w:r>
            <w:r>
              <w:rPr>
                <w:rFonts w:ascii="Sylfaen" w:eastAsia="Times New Roman" w:hAnsi="Sylfaen" w:cs="Calibri"/>
                <w:sz w:val="20"/>
                <w:szCs w:val="20"/>
                <w:lang w:val="en-GB" w:eastAsia="en-GB"/>
              </w:rPr>
              <w:t>BDD document</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Incl: </w:t>
            </w:r>
            <w:r>
              <w:rPr>
                <w:rFonts w:ascii="Sylfaen" w:eastAsia="Times New Roman" w:hAnsi="Sylfaen" w:cs="Calibri"/>
                <w:sz w:val="20"/>
                <w:szCs w:val="20"/>
                <w:lang w:val="en-GB" w:eastAsia="en-GB"/>
              </w:rPr>
              <w:t>Improving social conditions of children and families with children</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150,000.0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150,000.0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150,000.0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150,000.0</w:t>
            </w:r>
          </w:p>
        </w:tc>
        <w:tc>
          <w:tcPr>
            <w:tcW w:w="804" w:type="pct"/>
            <w:vMerge/>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p>
        </w:tc>
      </w:tr>
      <w:tr w:rsidR="0063179B" w:rsidRPr="00825A89" w:rsidTr="004A2C00">
        <w:trPr>
          <w:trHeight w:val="113"/>
        </w:trPr>
        <w:tc>
          <w:tcPr>
            <w:tcW w:w="1687" w:type="pct"/>
            <w:shd w:val="clear" w:color="auto" w:fill="auto"/>
            <w:vAlign w:val="center"/>
            <w:hideMark/>
          </w:tcPr>
          <w:p w:rsidR="0063179B" w:rsidRPr="00825A89" w:rsidRDefault="0063179B" w:rsidP="0063179B">
            <w:pPr>
              <w:spacing w:after="0"/>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Health care program</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1,791,204.0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1,510,000.0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1,510,000.0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1,610,000.0</w:t>
            </w:r>
          </w:p>
        </w:tc>
        <w:tc>
          <w:tcPr>
            <w:tcW w:w="804" w:type="pct"/>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 </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Incl: Co-financing medical insurence</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2,250.0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2,250.0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2,250.0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2,250.0</w:t>
            </w:r>
          </w:p>
        </w:tc>
        <w:tc>
          <w:tcPr>
            <w:tcW w:w="804" w:type="pc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New policy directions reflected in </w:t>
            </w:r>
            <w:r w:rsidRPr="00825A89">
              <w:rPr>
                <w:rFonts w:ascii="Sylfaen" w:eastAsia="Times New Roman" w:hAnsi="Sylfaen" w:cs="Calibri"/>
                <w:sz w:val="20"/>
                <w:szCs w:val="20"/>
                <w:lang w:val="en-GB" w:eastAsia="en-GB"/>
              </w:rPr>
              <w:t>202</w:t>
            </w:r>
            <w:r>
              <w:rPr>
                <w:rFonts w:ascii="Sylfaen" w:eastAsia="Times New Roman" w:hAnsi="Sylfaen" w:cs="Calibri"/>
                <w:sz w:val="20"/>
                <w:szCs w:val="20"/>
                <w:lang w:val="en-GB" w:eastAsia="en-GB"/>
              </w:rPr>
              <w:t>1-2024</w:t>
            </w:r>
            <w:r w:rsidRPr="00825A89">
              <w:rPr>
                <w:rFonts w:ascii="Sylfaen" w:eastAsia="Times New Roman" w:hAnsi="Sylfaen" w:cs="Calibri"/>
                <w:sz w:val="20"/>
                <w:szCs w:val="20"/>
                <w:lang w:val="en-GB" w:eastAsia="en-GB"/>
              </w:rPr>
              <w:t xml:space="preserve"> </w:t>
            </w:r>
            <w:r>
              <w:rPr>
                <w:rFonts w:ascii="Sylfaen" w:eastAsia="Times New Roman" w:hAnsi="Sylfaen" w:cs="Calibri"/>
                <w:sz w:val="20"/>
                <w:szCs w:val="20"/>
                <w:lang w:val="en-GB" w:eastAsia="en-GB"/>
              </w:rPr>
              <w:t>BDD document</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Incl: Organ transplantation</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5,000.0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5,150.0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5,300.0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5,500.0</w:t>
            </w:r>
          </w:p>
        </w:tc>
        <w:tc>
          <w:tcPr>
            <w:tcW w:w="804" w:type="pct"/>
            <w:vMerge w:val="restar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New policy directions reflected in </w:t>
            </w:r>
            <w:r w:rsidRPr="00825A89">
              <w:rPr>
                <w:rFonts w:ascii="Sylfaen" w:eastAsia="Times New Roman" w:hAnsi="Sylfaen" w:cs="Calibri"/>
                <w:sz w:val="20"/>
                <w:szCs w:val="20"/>
                <w:lang w:val="en-GB" w:eastAsia="en-GB"/>
              </w:rPr>
              <w:t>202</w:t>
            </w:r>
            <w:r>
              <w:rPr>
                <w:rFonts w:ascii="Sylfaen" w:eastAsia="Times New Roman" w:hAnsi="Sylfaen" w:cs="Calibri"/>
                <w:sz w:val="20"/>
                <w:szCs w:val="20"/>
                <w:lang w:val="en-GB" w:eastAsia="en-GB"/>
              </w:rPr>
              <w:t>2</w:t>
            </w:r>
            <w:r>
              <w:rPr>
                <w:rFonts w:ascii="Sylfaen" w:eastAsia="Times New Roman" w:hAnsi="Sylfaen" w:cs="Calibri"/>
                <w:sz w:val="20"/>
                <w:szCs w:val="20"/>
                <w:lang w:val="en-GB" w:eastAsia="en-GB"/>
              </w:rPr>
              <w:t>-202</w:t>
            </w:r>
            <w:r>
              <w:rPr>
                <w:rFonts w:ascii="Sylfaen" w:eastAsia="Times New Roman" w:hAnsi="Sylfaen" w:cs="Calibri"/>
                <w:sz w:val="20"/>
                <w:szCs w:val="20"/>
                <w:lang w:val="en-GB" w:eastAsia="en-GB"/>
              </w:rPr>
              <w:t>5</w:t>
            </w:r>
            <w:r w:rsidRPr="00825A89">
              <w:rPr>
                <w:rFonts w:ascii="Sylfaen" w:eastAsia="Times New Roman" w:hAnsi="Sylfaen" w:cs="Calibri"/>
                <w:sz w:val="20"/>
                <w:szCs w:val="20"/>
                <w:lang w:val="en-GB" w:eastAsia="en-GB"/>
              </w:rPr>
              <w:t xml:space="preserve"> </w:t>
            </w:r>
            <w:r>
              <w:rPr>
                <w:rFonts w:ascii="Sylfaen" w:eastAsia="Times New Roman" w:hAnsi="Sylfaen" w:cs="Calibri"/>
                <w:sz w:val="20"/>
                <w:szCs w:val="20"/>
                <w:lang w:val="en-GB" w:eastAsia="en-GB"/>
              </w:rPr>
              <w:t>BDD document</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Incl: </w:t>
            </w:r>
            <w:r w:rsidRPr="0063179B">
              <w:rPr>
                <w:rFonts w:ascii="Sylfaen" w:eastAsia="Times New Roman" w:hAnsi="Sylfaen" w:cs="Calibri"/>
                <w:sz w:val="20"/>
                <w:szCs w:val="20"/>
                <w:lang w:val="en-GB" w:eastAsia="en-GB"/>
              </w:rPr>
              <w:t>Spinal-muscular atrophy</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5,000.0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6,000.0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7,000.0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8,000.0</w:t>
            </w:r>
          </w:p>
        </w:tc>
        <w:tc>
          <w:tcPr>
            <w:tcW w:w="804" w:type="pct"/>
            <w:vMerge/>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Incl: </w:t>
            </w:r>
            <w:r w:rsidRPr="0063179B">
              <w:rPr>
                <w:rFonts w:ascii="Sylfaen" w:eastAsia="Times New Roman" w:hAnsi="Sylfaen" w:cs="Calibri"/>
                <w:sz w:val="20"/>
                <w:szCs w:val="20"/>
                <w:lang w:val="en-GB" w:eastAsia="en-GB"/>
              </w:rPr>
              <w:t>Continuous monitoring of glucose</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5,100.0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6,000.0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6,500.0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7,000.0</w:t>
            </w:r>
          </w:p>
        </w:tc>
        <w:tc>
          <w:tcPr>
            <w:tcW w:w="804" w:type="pct"/>
            <w:vMerge/>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p>
        </w:tc>
      </w:tr>
      <w:tr w:rsidR="0063179B" w:rsidRPr="00825A89" w:rsidTr="004A2C00">
        <w:trPr>
          <w:trHeight w:val="113"/>
        </w:trPr>
        <w:tc>
          <w:tcPr>
            <w:tcW w:w="1687" w:type="pct"/>
            <w:shd w:val="clear" w:color="auto" w:fill="auto"/>
            <w:vAlign w:val="center"/>
            <w:hideMark/>
          </w:tcPr>
          <w:p w:rsidR="0063179B" w:rsidRPr="00825A89" w:rsidRDefault="0063179B" w:rsidP="0063179B">
            <w:pPr>
              <w:spacing w:after="0"/>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Labour and employment system reform program</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9,195.0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9,922.0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10,439.0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12,018.0</w:t>
            </w:r>
          </w:p>
        </w:tc>
        <w:tc>
          <w:tcPr>
            <w:tcW w:w="804" w:type="pct"/>
            <w:shd w:val="clear" w:color="auto" w:fill="auto"/>
            <w:vAlign w:val="center"/>
            <w:hideMark/>
          </w:tcPr>
          <w:p w:rsidR="0063179B" w:rsidRPr="00825A89" w:rsidRDefault="0063179B" w:rsidP="0063179B">
            <w:pPr>
              <w:spacing w:after="0"/>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 </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Inlc: Safety working conditions policy</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4,000.0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4,000.0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4,000.0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4,000.0</w:t>
            </w:r>
          </w:p>
        </w:tc>
        <w:tc>
          <w:tcPr>
            <w:tcW w:w="804" w:type="pct"/>
            <w:vMerge w:val="restar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New policy directions reflected in </w:t>
            </w:r>
            <w:r w:rsidRPr="00825A89">
              <w:rPr>
                <w:rFonts w:ascii="Sylfaen" w:eastAsia="Times New Roman" w:hAnsi="Sylfaen" w:cs="Calibri"/>
                <w:sz w:val="20"/>
                <w:szCs w:val="20"/>
                <w:lang w:val="en-GB" w:eastAsia="en-GB"/>
              </w:rPr>
              <w:t>202</w:t>
            </w:r>
            <w:r>
              <w:rPr>
                <w:rFonts w:ascii="Sylfaen" w:eastAsia="Times New Roman" w:hAnsi="Sylfaen" w:cs="Calibri"/>
                <w:sz w:val="20"/>
                <w:szCs w:val="20"/>
                <w:lang w:val="en-GB" w:eastAsia="en-GB"/>
              </w:rPr>
              <w:t>1-</w:t>
            </w:r>
            <w:r>
              <w:rPr>
                <w:rFonts w:ascii="Sylfaen" w:eastAsia="Times New Roman" w:hAnsi="Sylfaen" w:cs="Calibri"/>
                <w:sz w:val="20"/>
                <w:szCs w:val="20"/>
                <w:lang w:val="en-GB" w:eastAsia="en-GB"/>
              </w:rPr>
              <w:lastRenderedPageBreak/>
              <w:t>2024</w:t>
            </w:r>
            <w:r w:rsidRPr="00825A89">
              <w:rPr>
                <w:rFonts w:ascii="Sylfaen" w:eastAsia="Times New Roman" w:hAnsi="Sylfaen" w:cs="Calibri"/>
                <w:sz w:val="20"/>
                <w:szCs w:val="20"/>
                <w:lang w:val="en-GB" w:eastAsia="en-GB"/>
              </w:rPr>
              <w:t xml:space="preserve"> </w:t>
            </w:r>
            <w:r>
              <w:rPr>
                <w:rFonts w:ascii="Sylfaen" w:eastAsia="Times New Roman" w:hAnsi="Sylfaen" w:cs="Calibri"/>
                <w:sz w:val="20"/>
                <w:szCs w:val="20"/>
                <w:lang w:val="en-GB" w:eastAsia="en-GB"/>
              </w:rPr>
              <w:t>BDD document</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Incl: new direction of employment policy </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1,500.0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1,500.0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1,500.0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1,500.0</w:t>
            </w:r>
          </w:p>
        </w:tc>
        <w:tc>
          <w:tcPr>
            <w:tcW w:w="804" w:type="pct"/>
            <w:vMerge/>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p>
        </w:tc>
      </w:tr>
      <w:tr w:rsidR="004A2C00" w:rsidRPr="00825A89" w:rsidTr="004A2C00">
        <w:trPr>
          <w:trHeight w:val="113"/>
        </w:trPr>
        <w:tc>
          <w:tcPr>
            <w:tcW w:w="1687" w:type="pct"/>
            <w:shd w:val="clear" w:color="auto" w:fill="B4C6E7" w:themeFill="accent5" w:themeFillTint="66"/>
            <w:vAlign w:val="center"/>
            <w:hideMark/>
          </w:tcPr>
          <w:p w:rsidR="0063179B" w:rsidRPr="00825A89" w:rsidRDefault="0063179B" w:rsidP="0063179B">
            <w:pPr>
              <w:spacing w:after="0"/>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lastRenderedPageBreak/>
              <w:t>Ministry of Education and Sciency</w:t>
            </w:r>
          </w:p>
        </w:tc>
        <w:tc>
          <w:tcPr>
            <w:tcW w:w="627" w:type="pct"/>
            <w:shd w:val="clear" w:color="auto" w:fill="B4C6E7" w:themeFill="accent5" w:themeFillTint="66"/>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2,076,085.9</w:t>
            </w:r>
          </w:p>
        </w:tc>
        <w:tc>
          <w:tcPr>
            <w:tcW w:w="627" w:type="pct"/>
            <w:shd w:val="clear" w:color="auto" w:fill="B4C6E7" w:themeFill="accent5" w:themeFillTint="66"/>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2,501,670.0</w:t>
            </w:r>
          </w:p>
        </w:tc>
        <w:tc>
          <w:tcPr>
            <w:tcW w:w="627" w:type="pct"/>
            <w:shd w:val="clear" w:color="auto" w:fill="B4C6E7" w:themeFill="accent5" w:themeFillTint="66"/>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2,564,918.0</w:t>
            </w:r>
          </w:p>
        </w:tc>
        <w:tc>
          <w:tcPr>
            <w:tcW w:w="627" w:type="pct"/>
            <w:shd w:val="clear" w:color="auto" w:fill="B4C6E7" w:themeFill="accent5" w:themeFillTint="66"/>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2,671,252.0</w:t>
            </w:r>
          </w:p>
        </w:tc>
        <w:tc>
          <w:tcPr>
            <w:tcW w:w="804"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 </w:t>
            </w:r>
          </w:p>
        </w:tc>
      </w:tr>
      <w:tr w:rsidR="0063179B" w:rsidRPr="00825A89" w:rsidTr="004A2C00">
        <w:trPr>
          <w:trHeight w:val="113"/>
        </w:trPr>
        <w:tc>
          <w:tcPr>
            <w:tcW w:w="1687" w:type="pct"/>
            <w:shd w:val="clear" w:color="auto" w:fill="auto"/>
            <w:vAlign w:val="center"/>
            <w:hideMark/>
          </w:tcPr>
          <w:p w:rsidR="0063179B" w:rsidRPr="00825A89" w:rsidRDefault="0063179B" w:rsidP="0063179B">
            <w:pPr>
              <w:spacing w:after="0"/>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Primary and secondary Education program</w:t>
            </w:r>
            <w:r w:rsidRPr="00825A89">
              <w:rPr>
                <w:rFonts w:ascii="Sylfaen" w:eastAsia="Times New Roman" w:hAnsi="Sylfaen" w:cs="Calibri"/>
                <w:b/>
                <w:bCs/>
                <w:sz w:val="20"/>
                <w:szCs w:val="20"/>
                <w:lang w:val="en-GB" w:eastAsia="en-GB"/>
              </w:rPr>
              <w:t xml:space="preserve"> </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1,157,826.8</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1,393,433.0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1,484,807.0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sz w:val="20"/>
                <w:szCs w:val="20"/>
                <w:lang w:val="en-GB" w:eastAsia="en-GB"/>
              </w:rPr>
            </w:pPr>
            <w:r w:rsidRPr="00825A89">
              <w:rPr>
                <w:rFonts w:ascii="Sylfaen" w:eastAsia="Times New Roman" w:hAnsi="Sylfaen" w:cs="Calibri"/>
                <w:b/>
                <w:bCs/>
                <w:sz w:val="20"/>
                <w:szCs w:val="20"/>
                <w:lang w:val="en-GB" w:eastAsia="en-GB"/>
              </w:rPr>
              <w:t>1,576,533.0</w:t>
            </w:r>
          </w:p>
        </w:tc>
        <w:tc>
          <w:tcPr>
            <w:tcW w:w="804" w:type="pct"/>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 </w:t>
            </w:r>
          </w:p>
        </w:tc>
      </w:tr>
      <w:tr w:rsidR="004A2C00" w:rsidRPr="00825A89" w:rsidTr="004A2C00">
        <w:trPr>
          <w:trHeight w:val="113"/>
        </w:trPr>
        <w:tc>
          <w:tcPr>
            <w:tcW w:w="1687" w:type="pct"/>
            <w:shd w:val="clear" w:color="auto" w:fill="auto"/>
            <w:vAlign w:val="center"/>
            <w:hideMark/>
          </w:tcPr>
          <w:p w:rsidR="0063179B" w:rsidRPr="0063179B" w:rsidRDefault="0063179B" w:rsidP="0063179B">
            <w:pPr>
              <w:spacing w:after="0"/>
              <w:ind w:firstLineChars="200" w:firstLine="400"/>
              <w:rPr>
                <w:rFonts w:ascii="Sylfaen" w:eastAsia="Times New Roman" w:hAnsi="Sylfaen" w:cs="Calibri"/>
                <w:sz w:val="20"/>
                <w:szCs w:val="20"/>
                <w:lang w:val="en-GB" w:eastAsia="en-GB"/>
              </w:rPr>
            </w:pPr>
            <w:bookmarkStart w:id="13" w:name="_Toc58952856"/>
            <w:r w:rsidRPr="0063179B">
              <w:rPr>
                <w:rFonts w:ascii="Sylfaen" w:eastAsia="Times New Roman" w:hAnsi="Sylfaen" w:cs="Calibri"/>
                <w:sz w:val="20"/>
                <w:szCs w:val="20"/>
                <w:lang w:val="en-GB" w:eastAsia="en-GB"/>
              </w:rPr>
              <w:t xml:space="preserve">Incl: </w:t>
            </w:r>
            <w:r w:rsidRPr="0063179B">
              <w:rPr>
                <w:rFonts w:ascii="Sylfaen" w:eastAsia="Times New Roman" w:hAnsi="Sylfaen" w:cs="Calibri"/>
                <w:sz w:val="20"/>
                <w:szCs w:val="20"/>
                <w:lang w:val="en-GB" w:eastAsia="en-GB"/>
              </w:rPr>
              <w:t>Scheme for professional development and career advancement of teachers and an increase of remuneration</w:t>
            </w:r>
            <w:bookmarkEnd w:id="13"/>
          </w:p>
          <w:p w:rsidR="0063179B" w:rsidRPr="00825A89" w:rsidRDefault="0063179B" w:rsidP="0063179B">
            <w:pPr>
              <w:spacing w:after="0"/>
              <w:ind w:firstLineChars="200" w:firstLine="400"/>
              <w:rPr>
                <w:rFonts w:ascii="Sylfaen" w:eastAsia="Times New Roman" w:hAnsi="Sylfaen" w:cs="Calibri"/>
                <w:sz w:val="20"/>
                <w:szCs w:val="20"/>
                <w:lang w:val="en-GB" w:eastAsia="en-GB"/>
              </w:rPr>
            </w:pPr>
          </w:p>
        </w:tc>
        <w:tc>
          <w:tcPr>
            <w:tcW w:w="627" w:type="pct"/>
            <w:vMerge w:val="restar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250,000.0</w:t>
            </w:r>
          </w:p>
        </w:tc>
        <w:tc>
          <w:tcPr>
            <w:tcW w:w="627" w:type="pct"/>
            <w:vMerge w:val="restar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350,000.0</w:t>
            </w:r>
          </w:p>
        </w:tc>
        <w:tc>
          <w:tcPr>
            <w:tcW w:w="627" w:type="pct"/>
            <w:vMerge w:val="restar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450,000.0</w:t>
            </w:r>
          </w:p>
        </w:tc>
        <w:tc>
          <w:tcPr>
            <w:tcW w:w="627" w:type="pct"/>
            <w:vMerge w:val="restar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sidRPr="00825A89">
              <w:rPr>
                <w:rFonts w:ascii="Sylfaen" w:eastAsia="Times New Roman" w:hAnsi="Sylfaen" w:cs="Calibri"/>
                <w:sz w:val="20"/>
                <w:szCs w:val="20"/>
                <w:lang w:val="en-GB" w:eastAsia="en-GB"/>
              </w:rPr>
              <w:t>550,000.0</w:t>
            </w:r>
          </w:p>
        </w:tc>
        <w:tc>
          <w:tcPr>
            <w:tcW w:w="804" w:type="pct"/>
            <w:vMerge w:val="restart"/>
            <w:shd w:val="clear" w:color="auto" w:fill="auto"/>
            <w:vAlign w:val="center"/>
            <w:hideMark/>
          </w:tcPr>
          <w:p w:rsidR="0063179B" w:rsidRPr="00825A89" w:rsidRDefault="0063179B" w:rsidP="0063179B">
            <w:pPr>
              <w:spacing w:after="0"/>
              <w:jc w:val="center"/>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 xml:space="preserve">New policy directions reflected in </w:t>
            </w:r>
            <w:r w:rsidRPr="00825A89">
              <w:rPr>
                <w:rFonts w:ascii="Sylfaen" w:eastAsia="Times New Roman" w:hAnsi="Sylfaen" w:cs="Calibri"/>
                <w:sz w:val="20"/>
                <w:szCs w:val="20"/>
                <w:lang w:val="en-GB" w:eastAsia="en-GB"/>
              </w:rPr>
              <w:t>202</w:t>
            </w:r>
            <w:r>
              <w:rPr>
                <w:rFonts w:ascii="Sylfaen" w:eastAsia="Times New Roman" w:hAnsi="Sylfaen" w:cs="Calibri"/>
                <w:sz w:val="20"/>
                <w:szCs w:val="20"/>
                <w:lang w:val="en-GB" w:eastAsia="en-GB"/>
              </w:rPr>
              <w:t>1-2024</w:t>
            </w:r>
            <w:r w:rsidRPr="00825A89">
              <w:rPr>
                <w:rFonts w:ascii="Sylfaen" w:eastAsia="Times New Roman" w:hAnsi="Sylfaen" w:cs="Calibri"/>
                <w:sz w:val="20"/>
                <w:szCs w:val="20"/>
                <w:lang w:val="en-GB" w:eastAsia="en-GB"/>
              </w:rPr>
              <w:t xml:space="preserve"> </w:t>
            </w:r>
            <w:r>
              <w:rPr>
                <w:rFonts w:ascii="Sylfaen" w:eastAsia="Times New Roman" w:hAnsi="Sylfaen" w:cs="Calibri"/>
                <w:sz w:val="20"/>
                <w:szCs w:val="20"/>
                <w:lang w:val="en-GB" w:eastAsia="en-GB"/>
              </w:rPr>
              <w:t>BDD document</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ind w:firstLineChars="200" w:firstLine="400"/>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Incl: implementation of “New School” model</w:t>
            </w:r>
          </w:p>
        </w:tc>
        <w:tc>
          <w:tcPr>
            <w:tcW w:w="627" w:type="pct"/>
            <w:vMerge/>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p>
        </w:tc>
        <w:tc>
          <w:tcPr>
            <w:tcW w:w="627" w:type="pct"/>
            <w:vMerge/>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p>
        </w:tc>
        <w:tc>
          <w:tcPr>
            <w:tcW w:w="627" w:type="pct"/>
            <w:vMerge/>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p>
        </w:tc>
        <w:tc>
          <w:tcPr>
            <w:tcW w:w="627" w:type="pct"/>
            <w:vMerge/>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p>
        </w:tc>
        <w:tc>
          <w:tcPr>
            <w:tcW w:w="804" w:type="pct"/>
            <w:vMerge/>
            <w:shd w:val="clear" w:color="auto" w:fill="auto"/>
            <w:vAlign w:val="center"/>
            <w:hideMark/>
          </w:tcPr>
          <w:p w:rsidR="0063179B" w:rsidRPr="00825A89" w:rsidRDefault="0063179B" w:rsidP="0063179B">
            <w:pPr>
              <w:spacing w:after="0"/>
              <w:rPr>
                <w:rFonts w:ascii="Sylfaen" w:eastAsia="Times New Roman" w:hAnsi="Sylfaen" w:cs="Calibri"/>
                <w:sz w:val="20"/>
                <w:szCs w:val="20"/>
                <w:lang w:val="en-GB" w:eastAsia="en-GB"/>
              </w:rPr>
            </w:pPr>
          </w:p>
        </w:tc>
      </w:tr>
      <w:tr w:rsidR="004A2C00" w:rsidRPr="00825A89" w:rsidTr="004A2C00">
        <w:trPr>
          <w:trHeight w:val="113"/>
        </w:trPr>
        <w:tc>
          <w:tcPr>
            <w:tcW w:w="1687" w:type="pct"/>
            <w:shd w:val="clear" w:color="auto" w:fill="auto"/>
            <w:vAlign w:val="center"/>
            <w:hideMark/>
          </w:tcPr>
          <w:p w:rsidR="0063179B" w:rsidRPr="004A2C00" w:rsidRDefault="004A2C00" w:rsidP="0063179B">
            <w:pPr>
              <w:spacing w:after="0"/>
              <w:rPr>
                <w:rFonts w:ascii="Sylfaen" w:eastAsia="Times New Roman" w:hAnsi="Sylfaen" w:cs="Calibri"/>
                <w:b/>
                <w:bCs/>
                <w:i/>
                <w:iCs/>
                <w:sz w:val="20"/>
                <w:szCs w:val="20"/>
                <w:lang w:val="en-GB" w:eastAsia="en-GB"/>
              </w:rPr>
            </w:pPr>
            <w:r w:rsidRPr="004A2C00">
              <w:rPr>
                <w:rFonts w:ascii="Sylfaen" w:eastAsia="Times New Roman" w:hAnsi="Sylfaen" w:cs="Calibri"/>
                <w:b/>
                <w:sz w:val="20"/>
                <w:szCs w:val="20"/>
                <w:lang w:val="en-GB" w:eastAsia="en-GB"/>
              </w:rPr>
              <w:t xml:space="preserve">Sum of </w:t>
            </w:r>
            <w:r w:rsidRPr="004A2C00">
              <w:rPr>
                <w:rFonts w:ascii="Sylfaen" w:eastAsia="Times New Roman" w:hAnsi="Sylfaen" w:cs="Calibri"/>
                <w:b/>
                <w:sz w:val="20"/>
                <w:szCs w:val="20"/>
                <w:lang w:val="en-GB" w:eastAsia="en-GB"/>
              </w:rPr>
              <w:t>New policy directions reflected in 2021-2024 BDD document</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937,750.0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1,337,750.0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1,737,750.0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2,137,750.0</w:t>
            </w:r>
          </w:p>
        </w:tc>
        <w:tc>
          <w:tcPr>
            <w:tcW w:w="804" w:type="pct"/>
            <w:shd w:val="clear" w:color="auto" w:fill="auto"/>
            <w:vAlign w:val="center"/>
            <w:hideMark/>
          </w:tcPr>
          <w:p w:rsidR="0063179B" w:rsidRPr="00825A89" w:rsidRDefault="0063179B" w:rsidP="0063179B">
            <w:pPr>
              <w:spacing w:after="0"/>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 </w:t>
            </w:r>
          </w:p>
        </w:tc>
      </w:tr>
      <w:tr w:rsidR="004A2C00" w:rsidRPr="00825A89" w:rsidTr="004A2C00">
        <w:trPr>
          <w:trHeight w:val="113"/>
        </w:trPr>
        <w:tc>
          <w:tcPr>
            <w:tcW w:w="1687" w:type="pct"/>
            <w:shd w:val="clear" w:color="auto" w:fill="auto"/>
            <w:vAlign w:val="center"/>
            <w:hideMark/>
          </w:tcPr>
          <w:p w:rsidR="0063179B" w:rsidRPr="00825A89" w:rsidRDefault="004A2C00" w:rsidP="004A2C00">
            <w:pPr>
              <w:spacing w:after="0"/>
              <w:rPr>
                <w:rFonts w:ascii="Sylfaen" w:eastAsia="Times New Roman" w:hAnsi="Sylfaen" w:cs="Calibri"/>
                <w:b/>
                <w:bCs/>
                <w:i/>
                <w:iCs/>
                <w:sz w:val="20"/>
                <w:szCs w:val="20"/>
                <w:lang w:val="en-GB" w:eastAsia="en-GB"/>
              </w:rPr>
            </w:pPr>
            <w:r w:rsidRPr="004A2C00">
              <w:rPr>
                <w:rFonts w:ascii="Sylfaen" w:eastAsia="Times New Roman" w:hAnsi="Sylfaen" w:cs="Calibri"/>
                <w:b/>
                <w:sz w:val="20"/>
                <w:szCs w:val="20"/>
                <w:lang w:val="en-GB" w:eastAsia="en-GB"/>
              </w:rPr>
              <w:t>Sum of New policy directions reflected in 202</w:t>
            </w:r>
            <w:r>
              <w:rPr>
                <w:rFonts w:ascii="Sylfaen" w:eastAsia="Times New Roman" w:hAnsi="Sylfaen" w:cs="Calibri"/>
                <w:b/>
                <w:sz w:val="20"/>
                <w:szCs w:val="20"/>
                <w:lang w:val="en-GB" w:eastAsia="en-GB"/>
              </w:rPr>
              <w:t>2</w:t>
            </w:r>
            <w:r w:rsidRPr="004A2C00">
              <w:rPr>
                <w:rFonts w:ascii="Sylfaen" w:eastAsia="Times New Roman" w:hAnsi="Sylfaen" w:cs="Calibri"/>
                <w:b/>
                <w:sz w:val="20"/>
                <w:szCs w:val="20"/>
                <w:lang w:val="en-GB" w:eastAsia="en-GB"/>
              </w:rPr>
              <w:t>-202</w:t>
            </w:r>
            <w:r>
              <w:rPr>
                <w:rFonts w:ascii="Sylfaen" w:eastAsia="Times New Roman" w:hAnsi="Sylfaen" w:cs="Calibri"/>
                <w:b/>
                <w:sz w:val="20"/>
                <w:szCs w:val="20"/>
                <w:lang w:val="en-GB" w:eastAsia="en-GB"/>
              </w:rPr>
              <w:t>5</w:t>
            </w:r>
            <w:r w:rsidRPr="004A2C00">
              <w:rPr>
                <w:rFonts w:ascii="Sylfaen" w:eastAsia="Times New Roman" w:hAnsi="Sylfaen" w:cs="Calibri"/>
                <w:b/>
                <w:sz w:val="20"/>
                <w:szCs w:val="20"/>
                <w:lang w:val="en-GB" w:eastAsia="en-GB"/>
              </w:rPr>
              <w:t xml:space="preserve"> BDD document</w:t>
            </w:r>
            <w:r w:rsidRPr="00825A89">
              <w:rPr>
                <w:rFonts w:ascii="Sylfaen" w:eastAsia="Times New Roman" w:hAnsi="Sylfaen" w:cs="Calibri"/>
                <w:b/>
                <w:bCs/>
                <w:i/>
                <w:iCs/>
                <w:sz w:val="20"/>
                <w:szCs w:val="20"/>
                <w:lang w:val="en-GB" w:eastAsia="en-GB"/>
              </w:rPr>
              <w:t xml:space="preserve"> </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200,100.0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226,100.0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237,720.0</w:t>
            </w:r>
          </w:p>
        </w:tc>
        <w:tc>
          <w:tcPr>
            <w:tcW w:w="627" w:type="pct"/>
            <w:shd w:val="clear" w:color="auto" w:fill="auto"/>
            <w:vAlign w:val="center"/>
            <w:hideMark/>
          </w:tcPr>
          <w:p w:rsidR="0063179B" w:rsidRPr="00825A89" w:rsidRDefault="0063179B" w:rsidP="0063179B">
            <w:pPr>
              <w:spacing w:after="0"/>
              <w:jc w:val="right"/>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281,220.0</w:t>
            </w:r>
          </w:p>
        </w:tc>
        <w:tc>
          <w:tcPr>
            <w:tcW w:w="804" w:type="pct"/>
            <w:shd w:val="clear" w:color="auto" w:fill="auto"/>
            <w:vAlign w:val="center"/>
            <w:hideMark/>
          </w:tcPr>
          <w:p w:rsidR="0063179B" w:rsidRPr="00825A89" w:rsidRDefault="0063179B" w:rsidP="0063179B">
            <w:pPr>
              <w:spacing w:after="0"/>
              <w:rPr>
                <w:rFonts w:ascii="Sylfaen" w:eastAsia="Times New Roman" w:hAnsi="Sylfaen" w:cs="Calibri"/>
                <w:b/>
                <w:bCs/>
                <w:i/>
                <w:iCs/>
                <w:sz w:val="20"/>
                <w:szCs w:val="20"/>
                <w:lang w:val="en-GB" w:eastAsia="en-GB"/>
              </w:rPr>
            </w:pPr>
            <w:r w:rsidRPr="00825A89">
              <w:rPr>
                <w:rFonts w:ascii="Sylfaen" w:eastAsia="Times New Roman" w:hAnsi="Sylfaen" w:cs="Calibri"/>
                <w:b/>
                <w:bCs/>
                <w:i/>
                <w:iCs/>
                <w:sz w:val="20"/>
                <w:szCs w:val="20"/>
                <w:lang w:val="en-GB" w:eastAsia="en-GB"/>
              </w:rPr>
              <w:t> </w:t>
            </w:r>
          </w:p>
        </w:tc>
      </w:tr>
      <w:tr w:rsidR="0063179B" w:rsidRPr="00825A89" w:rsidTr="004A2C00">
        <w:trPr>
          <w:trHeight w:val="113"/>
        </w:trPr>
        <w:tc>
          <w:tcPr>
            <w:tcW w:w="1687" w:type="pct"/>
            <w:shd w:val="clear" w:color="auto" w:fill="B4C6E7" w:themeFill="accent5" w:themeFillTint="66"/>
            <w:vAlign w:val="center"/>
            <w:hideMark/>
          </w:tcPr>
          <w:p w:rsidR="0063179B" w:rsidRPr="00825A89" w:rsidRDefault="004A2C00" w:rsidP="0063179B">
            <w:pPr>
              <w:spacing w:after="0"/>
              <w:jc w:val="center"/>
              <w:rPr>
                <w:rFonts w:ascii="Sylfaen" w:eastAsia="Times New Roman" w:hAnsi="Sylfaen" w:cs="Calibri"/>
                <w:b/>
                <w:bCs/>
                <w:lang w:val="en-GB" w:eastAsia="en-GB"/>
              </w:rPr>
            </w:pPr>
            <w:r>
              <w:rPr>
                <w:rFonts w:ascii="Sylfaen" w:eastAsia="Times New Roman" w:hAnsi="Sylfaen" w:cs="Calibri"/>
                <w:b/>
                <w:bCs/>
                <w:lang w:val="en-GB" w:eastAsia="en-GB"/>
              </w:rPr>
              <w:t xml:space="preserve">Total spending </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17,023,409.6</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18,666,826.5</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18,736,829.7</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18,790,528.3</w:t>
            </w:r>
          </w:p>
        </w:tc>
        <w:tc>
          <w:tcPr>
            <w:tcW w:w="804"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sz w:val="24"/>
                <w:szCs w:val="24"/>
                <w:lang w:val="en-GB" w:eastAsia="en-GB"/>
              </w:rPr>
            </w:pPr>
            <w:r w:rsidRPr="00825A89">
              <w:rPr>
                <w:rFonts w:ascii="Sylfaen" w:eastAsia="Times New Roman" w:hAnsi="Sylfaen" w:cs="Calibri"/>
                <w:b/>
                <w:bCs/>
                <w:sz w:val="24"/>
                <w:szCs w:val="24"/>
                <w:lang w:val="en-GB" w:eastAsia="en-GB"/>
              </w:rPr>
              <w:t> </w:t>
            </w:r>
          </w:p>
        </w:tc>
      </w:tr>
      <w:tr w:rsidR="004A2C00" w:rsidRPr="00825A89" w:rsidTr="004A2C00">
        <w:trPr>
          <w:trHeight w:val="113"/>
        </w:trPr>
        <w:tc>
          <w:tcPr>
            <w:tcW w:w="1687" w:type="pct"/>
            <w:shd w:val="clear" w:color="auto" w:fill="auto"/>
            <w:vAlign w:val="center"/>
            <w:hideMark/>
          </w:tcPr>
          <w:p w:rsidR="0063179B" w:rsidRPr="00825A89" w:rsidRDefault="0063179B" w:rsidP="0063179B">
            <w:pPr>
              <w:spacing w:after="0"/>
              <w:jc w:val="center"/>
              <w:rPr>
                <w:rFonts w:ascii="Sylfaen" w:eastAsia="Times New Roman" w:hAnsi="Sylfaen" w:cs="Calibri"/>
                <w:b/>
                <w:bCs/>
                <w:sz w:val="24"/>
                <w:szCs w:val="24"/>
                <w:lang w:val="en-GB" w:eastAsia="en-GB"/>
              </w:rPr>
            </w:pPr>
          </w:p>
        </w:tc>
        <w:tc>
          <w:tcPr>
            <w:tcW w:w="627" w:type="pct"/>
            <w:shd w:val="clear" w:color="auto" w:fill="auto"/>
            <w:vAlign w:val="center"/>
            <w:hideMark/>
          </w:tcPr>
          <w:p w:rsidR="0063179B" w:rsidRPr="00825A89" w:rsidRDefault="0063179B" w:rsidP="0063179B">
            <w:pPr>
              <w:spacing w:after="0"/>
              <w:rPr>
                <w:rFonts w:ascii="Times New Roman" w:eastAsia="Times New Roman" w:hAnsi="Times New Roman" w:cs="Times New Roman"/>
                <w:sz w:val="20"/>
                <w:szCs w:val="20"/>
                <w:lang w:val="en-GB" w:eastAsia="en-GB"/>
              </w:rPr>
            </w:pPr>
          </w:p>
        </w:tc>
        <w:tc>
          <w:tcPr>
            <w:tcW w:w="627" w:type="pct"/>
            <w:shd w:val="clear" w:color="auto" w:fill="auto"/>
            <w:vAlign w:val="center"/>
            <w:hideMark/>
          </w:tcPr>
          <w:p w:rsidR="0063179B" w:rsidRPr="00825A89" w:rsidRDefault="0063179B" w:rsidP="0063179B">
            <w:pPr>
              <w:spacing w:after="0"/>
              <w:rPr>
                <w:rFonts w:ascii="Times New Roman" w:eastAsia="Times New Roman" w:hAnsi="Times New Roman" w:cs="Times New Roman"/>
                <w:sz w:val="20"/>
                <w:szCs w:val="20"/>
                <w:lang w:val="en-GB" w:eastAsia="en-GB"/>
              </w:rPr>
            </w:pPr>
          </w:p>
        </w:tc>
        <w:tc>
          <w:tcPr>
            <w:tcW w:w="627" w:type="pct"/>
            <w:shd w:val="clear" w:color="auto" w:fill="auto"/>
            <w:vAlign w:val="center"/>
            <w:hideMark/>
          </w:tcPr>
          <w:p w:rsidR="0063179B" w:rsidRPr="00825A89" w:rsidRDefault="0063179B" w:rsidP="0063179B">
            <w:pPr>
              <w:spacing w:after="0"/>
              <w:rPr>
                <w:rFonts w:ascii="Times New Roman" w:eastAsia="Times New Roman" w:hAnsi="Times New Roman" w:cs="Times New Roman"/>
                <w:sz w:val="20"/>
                <w:szCs w:val="20"/>
                <w:lang w:val="en-GB" w:eastAsia="en-GB"/>
              </w:rPr>
            </w:pPr>
          </w:p>
        </w:tc>
        <w:tc>
          <w:tcPr>
            <w:tcW w:w="627" w:type="pct"/>
            <w:shd w:val="clear" w:color="auto" w:fill="auto"/>
            <w:vAlign w:val="center"/>
            <w:hideMark/>
          </w:tcPr>
          <w:p w:rsidR="0063179B" w:rsidRPr="00825A89" w:rsidRDefault="0063179B" w:rsidP="0063179B">
            <w:pPr>
              <w:spacing w:after="0"/>
              <w:rPr>
                <w:rFonts w:ascii="Times New Roman" w:eastAsia="Times New Roman" w:hAnsi="Times New Roman" w:cs="Times New Roman"/>
                <w:sz w:val="20"/>
                <w:szCs w:val="20"/>
                <w:lang w:val="en-GB" w:eastAsia="en-GB"/>
              </w:rPr>
            </w:pPr>
          </w:p>
        </w:tc>
        <w:tc>
          <w:tcPr>
            <w:tcW w:w="804" w:type="pct"/>
            <w:shd w:val="clear" w:color="auto" w:fill="auto"/>
            <w:vAlign w:val="center"/>
            <w:hideMark/>
          </w:tcPr>
          <w:p w:rsidR="0063179B" w:rsidRPr="00825A89" w:rsidRDefault="0063179B" w:rsidP="0063179B">
            <w:pPr>
              <w:spacing w:after="0"/>
              <w:rPr>
                <w:rFonts w:ascii="Times New Roman" w:eastAsia="Times New Roman" w:hAnsi="Times New Roman" w:cs="Times New Roman"/>
                <w:sz w:val="20"/>
                <w:szCs w:val="20"/>
                <w:lang w:val="en-GB" w:eastAsia="en-GB"/>
              </w:rPr>
            </w:pPr>
          </w:p>
        </w:tc>
      </w:tr>
      <w:tr w:rsidR="004A2C00" w:rsidRPr="00825A89" w:rsidTr="004A2C00">
        <w:trPr>
          <w:trHeight w:val="113"/>
        </w:trPr>
        <w:tc>
          <w:tcPr>
            <w:tcW w:w="1687" w:type="pct"/>
            <w:shd w:val="clear" w:color="auto" w:fill="B4C6E7" w:themeFill="accent5" w:themeFillTint="66"/>
            <w:vAlign w:val="center"/>
            <w:hideMark/>
          </w:tcPr>
          <w:p w:rsidR="0063179B" w:rsidRPr="00825A89" w:rsidRDefault="004A2C00" w:rsidP="004A2C00">
            <w:pPr>
              <w:spacing w:after="0"/>
              <w:rPr>
                <w:rFonts w:ascii="Sylfaen" w:eastAsia="Times New Roman" w:hAnsi="Sylfaen" w:cs="Calibri"/>
                <w:b/>
                <w:bCs/>
                <w:lang w:val="en-GB" w:eastAsia="en-GB"/>
              </w:rPr>
            </w:pPr>
            <w:r>
              <w:rPr>
                <w:rFonts w:ascii="Sylfaen" w:eastAsia="Times New Roman" w:hAnsi="Sylfaen" w:cs="Calibri"/>
                <w:b/>
                <w:sz w:val="20"/>
                <w:szCs w:val="20"/>
                <w:lang w:val="en-GB" w:eastAsia="en-GB"/>
              </w:rPr>
              <w:t xml:space="preserve">Share of the </w:t>
            </w:r>
            <w:r w:rsidRPr="004A2C00">
              <w:rPr>
                <w:rFonts w:ascii="Sylfaen" w:eastAsia="Times New Roman" w:hAnsi="Sylfaen" w:cs="Calibri"/>
                <w:b/>
                <w:sz w:val="20"/>
                <w:szCs w:val="20"/>
                <w:lang w:val="en-GB" w:eastAsia="en-GB"/>
              </w:rPr>
              <w:t>Sum of New policy directions reflected in 2021-2024 BDD document</w:t>
            </w:r>
            <w:r w:rsidRPr="00825A89">
              <w:rPr>
                <w:rFonts w:ascii="Sylfaen" w:eastAsia="Times New Roman" w:hAnsi="Sylfaen" w:cs="Calibri"/>
                <w:b/>
                <w:bCs/>
                <w:lang w:val="en-GB" w:eastAsia="en-GB"/>
              </w:rPr>
              <w:t xml:space="preserve"> </w:t>
            </w:r>
            <w:r w:rsidR="0063179B" w:rsidRPr="00825A89">
              <w:rPr>
                <w:rFonts w:ascii="Sylfaen" w:eastAsia="Times New Roman" w:hAnsi="Sylfaen" w:cs="Calibri"/>
                <w:b/>
                <w:bCs/>
                <w:lang w:val="en-GB" w:eastAsia="en-GB"/>
              </w:rPr>
              <w:t>%</w:t>
            </w:r>
            <w:r>
              <w:rPr>
                <w:rFonts w:ascii="Sylfaen" w:eastAsia="Times New Roman" w:hAnsi="Sylfaen" w:cs="Calibri"/>
                <w:b/>
                <w:bCs/>
                <w:lang w:val="en-GB" w:eastAsia="en-GB"/>
              </w:rPr>
              <w:t xml:space="preserve"> to total spending</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5.5%</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7.2%</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9.3%</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11.4%</w:t>
            </w:r>
          </w:p>
        </w:tc>
        <w:tc>
          <w:tcPr>
            <w:tcW w:w="804"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 </w:t>
            </w:r>
          </w:p>
        </w:tc>
      </w:tr>
      <w:tr w:rsidR="004A2C00" w:rsidRPr="00825A89" w:rsidTr="004A2C00">
        <w:trPr>
          <w:trHeight w:val="113"/>
        </w:trPr>
        <w:tc>
          <w:tcPr>
            <w:tcW w:w="1687" w:type="pct"/>
            <w:shd w:val="clear" w:color="auto" w:fill="B4C6E7" w:themeFill="accent5" w:themeFillTint="66"/>
            <w:vAlign w:val="center"/>
            <w:hideMark/>
          </w:tcPr>
          <w:p w:rsidR="0063179B" w:rsidRPr="00825A89" w:rsidRDefault="004A2C00" w:rsidP="004A2C00">
            <w:pPr>
              <w:spacing w:after="0"/>
              <w:rPr>
                <w:rFonts w:ascii="Sylfaen" w:eastAsia="Times New Roman" w:hAnsi="Sylfaen" w:cs="Calibri"/>
                <w:b/>
                <w:bCs/>
                <w:lang w:val="en-GB" w:eastAsia="en-GB"/>
              </w:rPr>
            </w:pPr>
            <w:r>
              <w:rPr>
                <w:rFonts w:ascii="Sylfaen" w:eastAsia="Times New Roman" w:hAnsi="Sylfaen" w:cs="Calibri"/>
                <w:b/>
                <w:sz w:val="20"/>
                <w:szCs w:val="20"/>
                <w:lang w:val="en-GB" w:eastAsia="en-GB"/>
              </w:rPr>
              <w:t xml:space="preserve">Share of the </w:t>
            </w:r>
            <w:r w:rsidRPr="004A2C00">
              <w:rPr>
                <w:rFonts w:ascii="Sylfaen" w:eastAsia="Times New Roman" w:hAnsi="Sylfaen" w:cs="Calibri"/>
                <w:b/>
                <w:sz w:val="20"/>
                <w:szCs w:val="20"/>
                <w:lang w:val="en-GB" w:eastAsia="en-GB"/>
              </w:rPr>
              <w:t>Sum of New policy directions reflected in 202</w:t>
            </w:r>
            <w:r>
              <w:rPr>
                <w:rFonts w:ascii="Sylfaen" w:eastAsia="Times New Roman" w:hAnsi="Sylfaen" w:cs="Calibri"/>
                <w:b/>
                <w:sz w:val="20"/>
                <w:szCs w:val="20"/>
                <w:lang w:val="en-GB" w:eastAsia="en-GB"/>
              </w:rPr>
              <w:t>2-2025</w:t>
            </w:r>
            <w:r w:rsidRPr="004A2C00">
              <w:rPr>
                <w:rFonts w:ascii="Sylfaen" w:eastAsia="Times New Roman" w:hAnsi="Sylfaen" w:cs="Calibri"/>
                <w:b/>
                <w:sz w:val="20"/>
                <w:szCs w:val="20"/>
                <w:lang w:val="en-GB" w:eastAsia="en-GB"/>
              </w:rPr>
              <w:t xml:space="preserve"> BDD document</w:t>
            </w:r>
            <w:r w:rsidRPr="00825A89">
              <w:rPr>
                <w:rFonts w:ascii="Sylfaen" w:eastAsia="Times New Roman" w:hAnsi="Sylfaen" w:cs="Calibri"/>
                <w:b/>
                <w:bCs/>
                <w:lang w:val="en-GB" w:eastAsia="en-GB"/>
              </w:rPr>
              <w:t xml:space="preserve"> %</w:t>
            </w:r>
            <w:r>
              <w:rPr>
                <w:rFonts w:ascii="Sylfaen" w:eastAsia="Times New Roman" w:hAnsi="Sylfaen" w:cs="Calibri"/>
                <w:b/>
                <w:bCs/>
                <w:lang w:val="en-GB" w:eastAsia="en-GB"/>
              </w:rPr>
              <w:t xml:space="preserve"> to total spending</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1.2%</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1.2%</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1.3%</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1.5%</w:t>
            </w:r>
          </w:p>
        </w:tc>
        <w:tc>
          <w:tcPr>
            <w:tcW w:w="804"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 </w:t>
            </w:r>
          </w:p>
        </w:tc>
      </w:tr>
      <w:tr w:rsidR="0063179B" w:rsidRPr="00825A89" w:rsidTr="004A2C00">
        <w:trPr>
          <w:trHeight w:val="113"/>
        </w:trPr>
        <w:tc>
          <w:tcPr>
            <w:tcW w:w="1687" w:type="pct"/>
            <w:shd w:val="clear" w:color="auto" w:fill="B4C6E7" w:themeFill="accent5" w:themeFillTint="66"/>
            <w:vAlign w:val="center"/>
            <w:hideMark/>
          </w:tcPr>
          <w:p w:rsidR="0063179B" w:rsidRPr="00825A89" w:rsidRDefault="004A2C00" w:rsidP="004A2C00">
            <w:pPr>
              <w:spacing w:after="0"/>
              <w:jc w:val="center"/>
              <w:rPr>
                <w:rFonts w:ascii="Sylfaen" w:eastAsia="Times New Roman" w:hAnsi="Sylfaen" w:cs="Calibri"/>
                <w:b/>
                <w:bCs/>
                <w:lang w:val="en-GB" w:eastAsia="en-GB"/>
              </w:rPr>
            </w:pPr>
            <w:r>
              <w:rPr>
                <w:rFonts w:ascii="Sylfaen" w:eastAsia="Times New Roman" w:hAnsi="Sylfaen" w:cs="Calibri"/>
                <w:b/>
                <w:sz w:val="20"/>
                <w:szCs w:val="20"/>
                <w:lang w:val="en-GB" w:eastAsia="en-GB"/>
              </w:rPr>
              <w:t xml:space="preserve">Share of the </w:t>
            </w:r>
            <w:r w:rsidRPr="004A2C00">
              <w:rPr>
                <w:rFonts w:ascii="Sylfaen" w:eastAsia="Times New Roman" w:hAnsi="Sylfaen" w:cs="Calibri"/>
                <w:b/>
                <w:sz w:val="20"/>
                <w:szCs w:val="20"/>
                <w:lang w:val="en-GB" w:eastAsia="en-GB"/>
              </w:rPr>
              <w:t xml:space="preserve">Sum of New policy directions </w:t>
            </w:r>
            <w:r w:rsidRPr="00825A89">
              <w:rPr>
                <w:rFonts w:ascii="Sylfaen" w:eastAsia="Times New Roman" w:hAnsi="Sylfaen" w:cs="Calibri"/>
                <w:b/>
                <w:bCs/>
                <w:lang w:val="en-GB" w:eastAsia="en-GB"/>
              </w:rPr>
              <w:t>%</w:t>
            </w:r>
            <w:r>
              <w:rPr>
                <w:rFonts w:ascii="Sylfaen" w:eastAsia="Times New Roman" w:hAnsi="Sylfaen" w:cs="Calibri"/>
                <w:b/>
                <w:bCs/>
                <w:lang w:val="en-GB" w:eastAsia="en-GB"/>
              </w:rPr>
              <w:t xml:space="preserve"> to total spending</w:t>
            </w:r>
            <w:r w:rsidRPr="00825A89">
              <w:rPr>
                <w:rFonts w:ascii="Sylfaen" w:eastAsia="Times New Roman" w:hAnsi="Sylfaen" w:cs="Calibri"/>
                <w:b/>
                <w:bCs/>
                <w:lang w:val="en-GB" w:eastAsia="en-GB"/>
              </w:rPr>
              <w:t xml:space="preserve"> </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6.7%</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8.4%</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10.5%</w:t>
            </w:r>
          </w:p>
        </w:tc>
        <w:tc>
          <w:tcPr>
            <w:tcW w:w="627"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12.9%</w:t>
            </w:r>
          </w:p>
        </w:tc>
        <w:tc>
          <w:tcPr>
            <w:tcW w:w="804" w:type="pct"/>
            <w:shd w:val="clear" w:color="auto" w:fill="B4C6E7" w:themeFill="accent5" w:themeFillTint="66"/>
            <w:vAlign w:val="center"/>
            <w:hideMark/>
          </w:tcPr>
          <w:p w:rsidR="0063179B" w:rsidRPr="00825A89" w:rsidRDefault="0063179B" w:rsidP="0063179B">
            <w:pPr>
              <w:spacing w:after="0"/>
              <w:jc w:val="center"/>
              <w:rPr>
                <w:rFonts w:ascii="Sylfaen" w:eastAsia="Times New Roman" w:hAnsi="Sylfaen" w:cs="Calibri"/>
                <w:b/>
                <w:bCs/>
                <w:lang w:val="en-GB" w:eastAsia="en-GB"/>
              </w:rPr>
            </w:pPr>
            <w:r w:rsidRPr="00825A89">
              <w:rPr>
                <w:rFonts w:ascii="Sylfaen" w:eastAsia="Times New Roman" w:hAnsi="Sylfaen" w:cs="Calibri"/>
                <w:b/>
                <w:bCs/>
                <w:lang w:val="en-GB" w:eastAsia="en-GB"/>
              </w:rPr>
              <w:t> </w:t>
            </w:r>
          </w:p>
        </w:tc>
      </w:tr>
    </w:tbl>
    <w:p w:rsidR="00825A89" w:rsidRPr="00877C7B" w:rsidRDefault="00825A89" w:rsidP="00653CF7">
      <w:pPr>
        <w:spacing w:after="0" w:line="276" w:lineRule="auto"/>
        <w:ind w:firstLine="720"/>
        <w:jc w:val="both"/>
        <w:rPr>
          <w:rFonts w:cstheme="minorHAnsi"/>
          <w:lang w:val="en-GB"/>
        </w:rPr>
      </w:pPr>
    </w:p>
    <w:p w:rsidR="00653CF7" w:rsidRDefault="00653CF7" w:rsidP="00653CF7">
      <w:pPr>
        <w:spacing w:after="0"/>
        <w:ind w:firstLine="720"/>
        <w:jc w:val="both"/>
        <w:rPr>
          <w:rFonts w:cstheme="minorHAnsi"/>
          <w:lang w:val="en-GB"/>
        </w:rPr>
      </w:pPr>
    </w:p>
    <w:p w:rsidR="00653CF7" w:rsidRPr="00653CF7" w:rsidRDefault="00653CF7" w:rsidP="00653CF7"/>
    <w:sectPr w:rsidR="00653CF7" w:rsidRPr="00653CF7" w:rsidSect="00D26E10">
      <w:footerReference w:type="default" r:id="rId8"/>
      <w:pgSz w:w="12240" w:h="15840"/>
      <w:pgMar w:top="630"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612" w:rsidRDefault="00297612" w:rsidP="009F60D8">
      <w:pPr>
        <w:spacing w:after="0" w:line="240" w:lineRule="auto"/>
      </w:pPr>
      <w:r>
        <w:separator/>
      </w:r>
    </w:p>
  </w:endnote>
  <w:endnote w:type="continuationSeparator" w:id="0">
    <w:p w:rsidR="00297612" w:rsidRDefault="00297612"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AF7EC0" w:rsidRDefault="00AF7EC0">
        <w:pPr>
          <w:pStyle w:val="Footer"/>
          <w:jc w:val="right"/>
        </w:pPr>
        <w:r>
          <w:fldChar w:fldCharType="begin"/>
        </w:r>
        <w:r>
          <w:instrText xml:space="preserve"> PAGE   \* MERGEFORMAT </w:instrText>
        </w:r>
        <w:r>
          <w:fldChar w:fldCharType="separate"/>
        </w:r>
        <w:r w:rsidR="004A2C00">
          <w:rPr>
            <w:noProof/>
          </w:rPr>
          <w:t>4</w:t>
        </w:r>
        <w:r>
          <w:rPr>
            <w:noProof/>
          </w:rPr>
          <w:fldChar w:fldCharType="end"/>
        </w:r>
      </w:p>
    </w:sdtContent>
  </w:sdt>
  <w:p w:rsidR="00AF7EC0" w:rsidRDefault="00AF7E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612" w:rsidRDefault="00297612" w:rsidP="009F60D8">
      <w:pPr>
        <w:spacing w:after="0" w:line="240" w:lineRule="auto"/>
      </w:pPr>
      <w:r>
        <w:separator/>
      </w:r>
    </w:p>
  </w:footnote>
  <w:footnote w:type="continuationSeparator" w:id="0">
    <w:p w:rsidR="00297612" w:rsidRDefault="00297612" w:rsidP="009F60D8">
      <w:pPr>
        <w:spacing w:after="0" w:line="240" w:lineRule="auto"/>
      </w:pPr>
      <w:r>
        <w:continuationSeparator/>
      </w:r>
    </w:p>
  </w:footnote>
  <w:footnote w:id="1">
    <w:p w:rsidR="00AF7EC0" w:rsidRPr="00246230" w:rsidRDefault="00AF7EC0" w:rsidP="00F61572">
      <w:pPr>
        <w:pStyle w:val="FootnoteText"/>
        <w:rPr>
          <w:lang w:val="ka-GE"/>
        </w:rPr>
      </w:pPr>
      <w:r>
        <w:rPr>
          <w:rStyle w:val="FootnoteReference"/>
        </w:rPr>
        <w:footnoteRef/>
      </w:r>
      <w:r>
        <w:t xml:space="preserve"> </w:t>
      </w:r>
      <w:r w:rsidRPr="002026E6">
        <w:t>https://mof.ge/5439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2C36A3A"/>
    <w:multiLevelType w:val="multilevel"/>
    <w:tmpl w:val="F7DAFAF0"/>
    <w:lvl w:ilvl="0">
      <w:start w:val="1"/>
      <w:numFmt w:val="decimal"/>
      <w:lvlText w:val="%1."/>
      <w:lvlJc w:val="left"/>
      <w:pPr>
        <w:ind w:left="390" w:hanging="390"/>
      </w:pPr>
      <w:rPr>
        <w:rFonts w:ascii="Sylfaen" w:hAnsi="Sylfaen" w:cs="Sylfaen" w:hint="default"/>
        <w:sz w:val="26"/>
      </w:rPr>
    </w:lvl>
    <w:lvl w:ilvl="1">
      <w:start w:val="1"/>
      <w:numFmt w:val="decimal"/>
      <w:lvlText w:val="%1.%2."/>
      <w:lvlJc w:val="left"/>
      <w:pPr>
        <w:ind w:left="390" w:hanging="390"/>
      </w:pPr>
      <w:rPr>
        <w:rFonts w:ascii="Sylfaen" w:hAnsi="Sylfaen" w:cs="Sylfaen" w:hint="default"/>
        <w:sz w:val="26"/>
      </w:rPr>
    </w:lvl>
    <w:lvl w:ilvl="2">
      <w:start w:val="1"/>
      <w:numFmt w:val="decimal"/>
      <w:lvlText w:val="%1.%2.%3."/>
      <w:lvlJc w:val="left"/>
      <w:pPr>
        <w:ind w:left="720" w:hanging="720"/>
      </w:pPr>
      <w:rPr>
        <w:rFonts w:ascii="Sylfaen" w:hAnsi="Sylfaen" w:cs="Sylfaen" w:hint="default"/>
        <w:sz w:val="26"/>
      </w:rPr>
    </w:lvl>
    <w:lvl w:ilvl="3">
      <w:start w:val="1"/>
      <w:numFmt w:val="decimal"/>
      <w:lvlText w:val="%1.%2.%3.%4."/>
      <w:lvlJc w:val="left"/>
      <w:pPr>
        <w:ind w:left="720" w:hanging="720"/>
      </w:pPr>
      <w:rPr>
        <w:rFonts w:ascii="Sylfaen" w:hAnsi="Sylfaen" w:cs="Sylfaen" w:hint="default"/>
        <w:sz w:val="26"/>
      </w:rPr>
    </w:lvl>
    <w:lvl w:ilvl="4">
      <w:start w:val="1"/>
      <w:numFmt w:val="decimal"/>
      <w:lvlText w:val="%1.%2.%3.%4.%5."/>
      <w:lvlJc w:val="left"/>
      <w:pPr>
        <w:ind w:left="1080" w:hanging="1080"/>
      </w:pPr>
      <w:rPr>
        <w:rFonts w:ascii="Sylfaen" w:hAnsi="Sylfaen" w:cs="Sylfaen" w:hint="default"/>
        <w:sz w:val="26"/>
      </w:rPr>
    </w:lvl>
    <w:lvl w:ilvl="5">
      <w:start w:val="1"/>
      <w:numFmt w:val="decimal"/>
      <w:lvlText w:val="%1.%2.%3.%4.%5.%6."/>
      <w:lvlJc w:val="left"/>
      <w:pPr>
        <w:ind w:left="1080" w:hanging="1080"/>
      </w:pPr>
      <w:rPr>
        <w:rFonts w:ascii="Sylfaen" w:hAnsi="Sylfaen" w:cs="Sylfaen" w:hint="default"/>
        <w:sz w:val="26"/>
      </w:rPr>
    </w:lvl>
    <w:lvl w:ilvl="6">
      <w:start w:val="1"/>
      <w:numFmt w:val="decimal"/>
      <w:lvlText w:val="%1.%2.%3.%4.%5.%6.%7."/>
      <w:lvlJc w:val="left"/>
      <w:pPr>
        <w:ind w:left="1440" w:hanging="1440"/>
      </w:pPr>
      <w:rPr>
        <w:rFonts w:ascii="Sylfaen" w:hAnsi="Sylfaen" w:cs="Sylfaen" w:hint="default"/>
        <w:sz w:val="26"/>
      </w:rPr>
    </w:lvl>
    <w:lvl w:ilvl="7">
      <w:start w:val="1"/>
      <w:numFmt w:val="decimal"/>
      <w:lvlText w:val="%1.%2.%3.%4.%5.%6.%7.%8."/>
      <w:lvlJc w:val="left"/>
      <w:pPr>
        <w:ind w:left="1440" w:hanging="1440"/>
      </w:pPr>
      <w:rPr>
        <w:rFonts w:ascii="Sylfaen" w:hAnsi="Sylfaen" w:cs="Sylfaen" w:hint="default"/>
        <w:sz w:val="26"/>
      </w:rPr>
    </w:lvl>
    <w:lvl w:ilvl="8">
      <w:start w:val="1"/>
      <w:numFmt w:val="decimal"/>
      <w:lvlText w:val="%1.%2.%3.%4.%5.%6.%7.%8.%9."/>
      <w:lvlJc w:val="left"/>
      <w:pPr>
        <w:ind w:left="1800" w:hanging="1800"/>
      </w:pPr>
      <w:rPr>
        <w:rFonts w:ascii="Sylfaen" w:hAnsi="Sylfaen" w:cs="Sylfaen" w:hint="default"/>
        <w:sz w:val="26"/>
      </w:rPr>
    </w:lvl>
  </w:abstractNum>
  <w:abstractNum w:abstractNumId="3"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77912"/>
    <w:multiLevelType w:val="multilevel"/>
    <w:tmpl w:val="C93ED258"/>
    <w:lvl w:ilvl="0">
      <w:start w:val="1"/>
      <w:numFmt w:val="decimal"/>
      <w:lvlText w:val="%1."/>
      <w:lvlJc w:val="left"/>
      <w:pPr>
        <w:ind w:left="1080" w:hanging="360"/>
      </w:pPr>
      <w:rPr>
        <w:rFonts w:hint="default"/>
        <w:sz w:val="28"/>
      </w:rPr>
    </w:lvl>
    <w:lvl w:ilvl="1">
      <w:start w:val="1"/>
      <w:numFmt w:val="decimal"/>
      <w:isLgl/>
      <w:lvlText w:val="%1.%2"/>
      <w:lvlJc w:val="left"/>
      <w:pPr>
        <w:ind w:left="1110" w:hanging="390"/>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10" w15:restartNumberingAfterBreak="0">
    <w:nsid w:val="72BF530D"/>
    <w:multiLevelType w:val="multilevel"/>
    <w:tmpl w:val="C93ED258"/>
    <w:lvl w:ilvl="0">
      <w:start w:val="1"/>
      <w:numFmt w:val="decimal"/>
      <w:lvlText w:val="%1."/>
      <w:lvlJc w:val="left"/>
      <w:pPr>
        <w:ind w:left="1080" w:hanging="360"/>
      </w:pPr>
      <w:rPr>
        <w:rFonts w:hint="default"/>
        <w:sz w:val="28"/>
      </w:rPr>
    </w:lvl>
    <w:lvl w:ilvl="1">
      <w:start w:val="1"/>
      <w:numFmt w:val="decimal"/>
      <w:isLgl/>
      <w:lvlText w:val="%1.%2"/>
      <w:lvlJc w:val="left"/>
      <w:pPr>
        <w:ind w:left="1110" w:hanging="390"/>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11"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0"/>
  </w:num>
  <w:num w:numId="3">
    <w:abstractNumId w:val="5"/>
  </w:num>
  <w:num w:numId="4">
    <w:abstractNumId w:val="11"/>
  </w:num>
  <w:num w:numId="5">
    <w:abstractNumId w:val="6"/>
  </w:num>
  <w:num w:numId="6">
    <w:abstractNumId w:val="1"/>
  </w:num>
  <w:num w:numId="7">
    <w:abstractNumId w:val="8"/>
  </w:num>
  <w:num w:numId="8">
    <w:abstractNumId w:val="3"/>
  </w:num>
  <w:num w:numId="9">
    <w:abstractNumId w:val="7"/>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14376"/>
    <w:rsid w:val="00017173"/>
    <w:rsid w:val="0002038B"/>
    <w:rsid w:val="00024261"/>
    <w:rsid w:val="000359EA"/>
    <w:rsid w:val="00036ADB"/>
    <w:rsid w:val="00037A9D"/>
    <w:rsid w:val="0004003E"/>
    <w:rsid w:val="00044987"/>
    <w:rsid w:val="0005192A"/>
    <w:rsid w:val="0005717F"/>
    <w:rsid w:val="000620EC"/>
    <w:rsid w:val="00067435"/>
    <w:rsid w:val="000704E9"/>
    <w:rsid w:val="00074809"/>
    <w:rsid w:val="00077298"/>
    <w:rsid w:val="000814D5"/>
    <w:rsid w:val="00091428"/>
    <w:rsid w:val="0009185A"/>
    <w:rsid w:val="00094934"/>
    <w:rsid w:val="000A29E6"/>
    <w:rsid w:val="000A565D"/>
    <w:rsid w:val="000C004C"/>
    <w:rsid w:val="000C3985"/>
    <w:rsid w:val="000C5D40"/>
    <w:rsid w:val="000C7E80"/>
    <w:rsid w:val="000D1A8A"/>
    <w:rsid w:val="000D1ED1"/>
    <w:rsid w:val="000D44F3"/>
    <w:rsid w:val="000D4D6A"/>
    <w:rsid w:val="000D6472"/>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60CFD"/>
    <w:rsid w:val="00164376"/>
    <w:rsid w:val="0016442C"/>
    <w:rsid w:val="00172AEE"/>
    <w:rsid w:val="00176389"/>
    <w:rsid w:val="00177B17"/>
    <w:rsid w:val="00187569"/>
    <w:rsid w:val="001875B2"/>
    <w:rsid w:val="001A228B"/>
    <w:rsid w:val="001A603A"/>
    <w:rsid w:val="001B0ADE"/>
    <w:rsid w:val="001B1BB4"/>
    <w:rsid w:val="001B7A8C"/>
    <w:rsid w:val="001B7D87"/>
    <w:rsid w:val="001C2D22"/>
    <w:rsid w:val="001C347E"/>
    <w:rsid w:val="001C4DC9"/>
    <w:rsid w:val="001C6335"/>
    <w:rsid w:val="001C7D85"/>
    <w:rsid w:val="001D1413"/>
    <w:rsid w:val="001D5666"/>
    <w:rsid w:val="001E0A58"/>
    <w:rsid w:val="001E1A9C"/>
    <w:rsid w:val="001F08E6"/>
    <w:rsid w:val="001F4868"/>
    <w:rsid w:val="002026E6"/>
    <w:rsid w:val="00204779"/>
    <w:rsid w:val="002054CC"/>
    <w:rsid w:val="00211AB2"/>
    <w:rsid w:val="002141D8"/>
    <w:rsid w:val="00215558"/>
    <w:rsid w:val="0021708C"/>
    <w:rsid w:val="00220829"/>
    <w:rsid w:val="00220F8D"/>
    <w:rsid w:val="00225C05"/>
    <w:rsid w:val="002404B2"/>
    <w:rsid w:val="00240C12"/>
    <w:rsid w:val="0024220D"/>
    <w:rsid w:val="002429D0"/>
    <w:rsid w:val="0024333D"/>
    <w:rsid w:val="00243974"/>
    <w:rsid w:val="00246230"/>
    <w:rsid w:val="00250276"/>
    <w:rsid w:val="00252F52"/>
    <w:rsid w:val="00261AE4"/>
    <w:rsid w:val="00263D13"/>
    <w:rsid w:val="00267A13"/>
    <w:rsid w:val="002807FA"/>
    <w:rsid w:val="00292E98"/>
    <w:rsid w:val="00297612"/>
    <w:rsid w:val="002B7BCD"/>
    <w:rsid w:val="002E1420"/>
    <w:rsid w:val="002F1C52"/>
    <w:rsid w:val="002F564D"/>
    <w:rsid w:val="002F63B9"/>
    <w:rsid w:val="003048EB"/>
    <w:rsid w:val="00304B4F"/>
    <w:rsid w:val="00306448"/>
    <w:rsid w:val="00306D41"/>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91A33"/>
    <w:rsid w:val="00393A09"/>
    <w:rsid w:val="00395712"/>
    <w:rsid w:val="003A2E8C"/>
    <w:rsid w:val="003A3D02"/>
    <w:rsid w:val="003A51E0"/>
    <w:rsid w:val="003A60F3"/>
    <w:rsid w:val="003B08BE"/>
    <w:rsid w:val="003B3395"/>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3B1"/>
    <w:rsid w:val="003F57B5"/>
    <w:rsid w:val="003F596F"/>
    <w:rsid w:val="004025F5"/>
    <w:rsid w:val="00403068"/>
    <w:rsid w:val="00404E8F"/>
    <w:rsid w:val="00410C6F"/>
    <w:rsid w:val="0041284B"/>
    <w:rsid w:val="0041614E"/>
    <w:rsid w:val="0041719A"/>
    <w:rsid w:val="00420EC8"/>
    <w:rsid w:val="0042677B"/>
    <w:rsid w:val="00431DB1"/>
    <w:rsid w:val="00435031"/>
    <w:rsid w:val="00436064"/>
    <w:rsid w:val="0044579A"/>
    <w:rsid w:val="00452AC8"/>
    <w:rsid w:val="0045636A"/>
    <w:rsid w:val="00457F1D"/>
    <w:rsid w:val="004654A1"/>
    <w:rsid w:val="0046628B"/>
    <w:rsid w:val="00470304"/>
    <w:rsid w:val="00475FE9"/>
    <w:rsid w:val="004801BF"/>
    <w:rsid w:val="0049650A"/>
    <w:rsid w:val="004A22FD"/>
    <w:rsid w:val="004A237E"/>
    <w:rsid w:val="004A2ACF"/>
    <w:rsid w:val="004A2C00"/>
    <w:rsid w:val="004A2ED7"/>
    <w:rsid w:val="004A68C1"/>
    <w:rsid w:val="004B6710"/>
    <w:rsid w:val="004B6789"/>
    <w:rsid w:val="004C485C"/>
    <w:rsid w:val="004C52B8"/>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0ACB"/>
    <w:rsid w:val="00561553"/>
    <w:rsid w:val="00564581"/>
    <w:rsid w:val="00573B92"/>
    <w:rsid w:val="00585FF0"/>
    <w:rsid w:val="00587368"/>
    <w:rsid w:val="005919D2"/>
    <w:rsid w:val="00595725"/>
    <w:rsid w:val="00597F97"/>
    <w:rsid w:val="005A7824"/>
    <w:rsid w:val="005B1C09"/>
    <w:rsid w:val="005B365D"/>
    <w:rsid w:val="005C202D"/>
    <w:rsid w:val="005C3422"/>
    <w:rsid w:val="005C3DED"/>
    <w:rsid w:val="005C49CA"/>
    <w:rsid w:val="005C7DFB"/>
    <w:rsid w:val="005E0AEF"/>
    <w:rsid w:val="005E18E6"/>
    <w:rsid w:val="005E1D74"/>
    <w:rsid w:val="005E435E"/>
    <w:rsid w:val="005F2DAC"/>
    <w:rsid w:val="005F4177"/>
    <w:rsid w:val="005F6F62"/>
    <w:rsid w:val="006004B7"/>
    <w:rsid w:val="00600756"/>
    <w:rsid w:val="00606701"/>
    <w:rsid w:val="0061130B"/>
    <w:rsid w:val="0063179B"/>
    <w:rsid w:val="00637FC7"/>
    <w:rsid w:val="0064273E"/>
    <w:rsid w:val="0064560E"/>
    <w:rsid w:val="00647038"/>
    <w:rsid w:val="00650744"/>
    <w:rsid w:val="00653CF7"/>
    <w:rsid w:val="006609EF"/>
    <w:rsid w:val="00663E28"/>
    <w:rsid w:val="0067395F"/>
    <w:rsid w:val="0067433B"/>
    <w:rsid w:val="00674E6F"/>
    <w:rsid w:val="00680339"/>
    <w:rsid w:val="00685A5A"/>
    <w:rsid w:val="006904FA"/>
    <w:rsid w:val="00693CED"/>
    <w:rsid w:val="006A0158"/>
    <w:rsid w:val="006A057A"/>
    <w:rsid w:val="006A22AE"/>
    <w:rsid w:val="006A3D51"/>
    <w:rsid w:val="006A6BD0"/>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2386"/>
    <w:rsid w:val="00702821"/>
    <w:rsid w:val="00704ED0"/>
    <w:rsid w:val="00705C58"/>
    <w:rsid w:val="00707044"/>
    <w:rsid w:val="00711FD0"/>
    <w:rsid w:val="007126B3"/>
    <w:rsid w:val="0073343E"/>
    <w:rsid w:val="007366C4"/>
    <w:rsid w:val="00741617"/>
    <w:rsid w:val="00743CA7"/>
    <w:rsid w:val="0074751F"/>
    <w:rsid w:val="007656A6"/>
    <w:rsid w:val="00765F91"/>
    <w:rsid w:val="00773D36"/>
    <w:rsid w:val="00776610"/>
    <w:rsid w:val="00781209"/>
    <w:rsid w:val="00782ECE"/>
    <w:rsid w:val="00782ED6"/>
    <w:rsid w:val="00785FB9"/>
    <w:rsid w:val="00795AE8"/>
    <w:rsid w:val="00796390"/>
    <w:rsid w:val="007A37DE"/>
    <w:rsid w:val="007B0F7D"/>
    <w:rsid w:val="007B6B22"/>
    <w:rsid w:val="007B6BCE"/>
    <w:rsid w:val="007B6E63"/>
    <w:rsid w:val="007C687D"/>
    <w:rsid w:val="007D46C3"/>
    <w:rsid w:val="007D6F01"/>
    <w:rsid w:val="007D7CE4"/>
    <w:rsid w:val="007E09D9"/>
    <w:rsid w:val="007E4307"/>
    <w:rsid w:val="007E4D42"/>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25A89"/>
    <w:rsid w:val="008304A5"/>
    <w:rsid w:val="0083288A"/>
    <w:rsid w:val="00836FD1"/>
    <w:rsid w:val="0084099F"/>
    <w:rsid w:val="00843136"/>
    <w:rsid w:val="00850F31"/>
    <w:rsid w:val="0085580C"/>
    <w:rsid w:val="00857B5A"/>
    <w:rsid w:val="00862507"/>
    <w:rsid w:val="008644B4"/>
    <w:rsid w:val="00864E35"/>
    <w:rsid w:val="00870058"/>
    <w:rsid w:val="0087013E"/>
    <w:rsid w:val="0087312E"/>
    <w:rsid w:val="00873562"/>
    <w:rsid w:val="0089341C"/>
    <w:rsid w:val="008A10D3"/>
    <w:rsid w:val="008A4D2A"/>
    <w:rsid w:val="008B430C"/>
    <w:rsid w:val="008B73C0"/>
    <w:rsid w:val="008C5E23"/>
    <w:rsid w:val="008D01F4"/>
    <w:rsid w:val="008D0202"/>
    <w:rsid w:val="008D5276"/>
    <w:rsid w:val="008E1DC6"/>
    <w:rsid w:val="008E26E9"/>
    <w:rsid w:val="008E58FE"/>
    <w:rsid w:val="008E75CE"/>
    <w:rsid w:val="008F384A"/>
    <w:rsid w:val="00902BC5"/>
    <w:rsid w:val="00911CE0"/>
    <w:rsid w:val="00921E64"/>
    <w:rsid w:val="00931509"/>
    <w:rsid w:val="009348D2"/>
    <w:rsid w:val="00936CC0"/>
    <w:rsid w:val="00936FE4"/>
    <w:rsid w:val="00937B3D"/>
    <w:rsid w:val="00945392"/>
    <w:rsid w:val="00952986"/>
    <w:rsid w:val="009610BF"/>
    <w:rsid w:val="009615ED"/>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2991"/>
    <w:rsid w:val="009B3A95"/>
    <w:rsid w:val="009B5D57"/>
    <w:rsid w:val="009C03FF"/>
    <w:rsid w:val="009C4B89"/>
    <w:rsid w:val="009C50FE"/>
    <w:rsid w:val="009C5631"/>
    <w:rsid w:val="009C683F"/>
    <w:rsid w:val="009D32A7"/>
    <w:rsid w:val="009D41D3"/>
    <w:rsid w:val="009D6C89"/>
    <w:rsid w:val="009F16D1"/>
    <w:rsid w:val="009F60D8"/>
    <w:rsid w:val="00A011F3"/>
    <w:rsid w:val="00A05BA2"/>
    <w:rsid w:val="00A15042"/>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40DA"/>
    <w:rsid w:val="00A6703D"/>
    <w:rsid w:val="00A67A05"/>
    <w:rsid w:val="00A816E3"/>
    <w:rsid w:val="00A84CB2"/>
    <w:rsid w:val="00A922FA"/>
    <w:rsid w:val="00A97679"/>
    <w:rsid w:val="00AA36AE"/>
    <w:rsid w:val="00AA4676"/>
    <w:rsid w:val="00AA5368"/>
    <w:rsid w:val="00AA5788"/>
    <w:rsid w:val="00AB1887"/>
    <w:rsid w:val="00AD4D9F"/>
    <w:rsid w:val="00AD5491"/>
    <w:rsid w:val="00AD738A"/>
    <w:rsid w:val="00AE0B8A"/>
    <w:rsid w:val="00AF23C1"/>
    <w:rsid w:val="00AF3C74"/>
    <w:rsid w:val="00AF7EC0"/>
    <w:rsid w:val="00B0075B"/>
    <w:rsid w:val="00B00AE7"/>
    <w:rsid w:val="00B020D2"/>
    <w:rsid w:val="00B030A6"/>
    <w:rsid w:val="00B038EB"/>
    <w:rsid w:val="00B04796"/>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59A6"/>
    <w:rsid w:val="00B6704B"/>
    <w:rsid w:val="00B82ABB"/>
    <w:rsid w:val="00B84101"/>
    <w:rsid w:val="00B92C40"/>
    <w:rsid w:val="00B94BE7"/>
    <w:rsid w:val="00B97489"/>
    <w:rsid w:val="00BA1519"/>
    <w:rsid w:val="00BA1C51"/>
    <w:rsid w:val="00BA22ED"/>
    <w:rsid w:val="00BA3346"/>
    <w:rsid w:val="00BA4E78"/>
    <w:rsid w:val="00BA51BA"/>
    <w:rsid w:val="00BC3B7E"/>
    <w:rsid w:val="00BC4B17"/>
    <w:rsid w:val="00BC68CE"/>
    <w:rsid w:val="00BC7AD9"/>
    <w:rsid w:val="00BD48B6"/>
    <w:rsid w:val="00BD6FDA"/>
    <w:rsid w:val="00BE1861"/>
    <w:rsid w:val="00BE4CE5"/>
    <w:rsid w:val="00BF167C"/>
    <w:rsid w:val="00BF1E77"/>
    <w:rsid w:val="00C12DE3"/>
    <w:rsid w:val="00C13576"/>
    <w:rsid w:val="00C13875"/>
    <w:rsid w:val="00C13CEB"/>
    <w:rsid w:val="00C24549"/>
    <w:rsid w:val="00C25447"/>
    <w:rsid w:val="00C302BD"/>
    <w:rsid w:val="00C31EA4"/>
    <w:rsid w:val="00C32B6F"/>
    <w:rsid w:val="00C551C7"/>
    <w:rsid w:val="00C5738D"/>
    <w:rsid w:val="00C64480"/>
    <w:rsid w:val="00C665F9"/>
    <w:rsid w:val="00C66934"/>
    <w:rsid w:val="00C70029"/>
    <w:rsid w:val="00C71FCB"/>
    <w:rsid w:val="00C75BD8"/>
    <w:rsid w:val="00C76B9F"/>
    <w:rsid w:val="00C85296"/>
    <w:rsid w:val="00C8711F"/>
    <w:rsid w:val="00C91EBC"/>
    <w:rsid w:val="00C9780C"/>
    <w:rsid w:val="00CA3B82"/>
    <w:rsid w:val="00CB0B67"/>
    <w:rsid w:val="00CB204E"/>
    <w:rsid w:val="00CB5879"/>
    <w:rsid w:val="00CC0152"/>
    <w:rsid w:val="00CC180B"/>
    <w:rsid w:val="00CE495D"/>
    <w:rsid w:val="00CF227E"/>
    <w:rsid w:val="00CF6B03"/>
    <w:rsid w:val="00CF7B45"/>
    <w:rsid w:val="00D07174"/>
    <w:rsid w:val="00D07BAA"/>
    <w:rsid w:val="00D20043"/>
    <w:rsid w:val="00D21974"/>
    <w:rsid w:val="00D224EE"/>
    <w:rsid w:val="00D26B98"/>
    <w:rsid w:val="00D26E10"/>
    <w:rsid w:val="00D344F1"/>
    <w:rsid w:val="00D34D9D"/>
    <w:rsid w:val="00D35829"/>
    <w:rsid w:val="00D378CF"/>
    <w:rsid w:val="00D37C22"/>
    <w:rsid w:val="00D42676"/>
    <w:rsid w:val="00D50FD1"/>
    <w:rsid w:val="00D541A1"/>
    <w:rsid w:val="00D547A3"/>
    <w:rsid w:val="00D6033B"/>
    <w:rsid w:val="00D6264C"/>
    <w:rsid w:val="00D7302B"/>
    <w:rsid w:val="00D75C72"/>
    <w:rsid w:val="00D779C4"/>
    <w:rsid w:val="00D82BCE"/>
    <w:rsid w:val="00D833FB"/>
    <w:rsid w:val="00D83A99"/>
    <w:rsid w:val="00D900D0"/>
    <w:rsid w:val="00D91B04"/>
    <w:rsid w:val="00D968E5"/>
    <w:rsid w:val="00DA2B85"/>
    <w:rsid w:val="00DB125E"/>
    <w:rsid w:val="00DB2104"/>
    <w:rsid w:val="00DB24BD"/>
    <w:rsid w:val="00DB3C65"/>
    <w:rsid w:val="00DB7553"/>
    <w:rsid w:val="00DB7FA9"/>
    <w:rsid w:val="00DC0392"/>
    <w:rsid w:val="00DC16C2"/>
    <w:rsid w:val="00DD4221"/>
    <w:rsid w:val="00DD6CB2"/>
    <w:rsid w:val="00DE190D"/>
    <w:rsid w:val="00DE37E7"/>
    <w:rsid w:val="00DF75A5"/>
    <w:rsid w:val="00E013DA"/>
    <w:rsid w:val="00E07F4F"/>
    <w:rsid w:val="00E10315"/>
    <w:rsid w:val="00E13B75"/>
    <w:rsid w:val="00E13F52"/>
    <w:rsid w:val="00E21921"/>
    <w:rsid w:val="00E248EF"/>
    <w:rsid w:val="00E260C5"/>
    <w:rsid w:val="00E30F0E"/>
    <w:rsid w:val="00E31633"/>
    <w:rsid w:val="00E36130"/>
    <w:rsid w:val="00E40CFA"/>
    <w:rsid w:val="00E43097"/>
    <w:rsid w:val="00E4430E"/>
    <w:rsid w:val="00E45A2E"/>
    <w:rsid w:val="00E479A4"/>
    <w:rsid w:val="00E50966"/>
    <w:rsid w:val="00E521A1"/>
    <w:rsid w:val="00E62DDE"/>
    <w:rsid w:val="00E6441A"/>
    <w:rsid w:val="00E655E3"/>
    <w:rsid w:val="00E6670D"/>
    <w:rsid w:val="00E73CB2"/>
    <w:rsid w:val="00E80D75"/>
    <w:rsid w:val="00E8491B"/>
    <w:rsid w:val="00E86E84"/>
    <w:rsid w:val="00E873F4"/>
    <w:rsid w:val="00E87DC6"/>
    <w:rsid w:val="00E9011D"/>
    <w:rsid w:val="00E94446"/>
    <w:rsid w:val="00E94E2E"/>
    <w:rsid w:val="00EA039D"/>
    <w:rsid w:val="00EA45E1"/>
    <w:rsid w:val="00EA57C9"/>
    <w:rsid w:val="00EB27B1"/>
    <w:rsid w:val="00EB36F6"/>
    <w:rsid w:val="00EB7135"/>
    <w:rsid w:val="00EB72AD"/>
    <w:rsid w:val="00EC21DA"/>
    <w:rsid w:val="00EC45C8"/>
    <w:rsid w:val="00EC5E35"/>
    <w:rsid w:val="00EC66F1"/>
    <w:rsid w:val="00EC7B3F"/>
    <w:rsid w:val="00ED33D9"/>
    <w:rsid w:val="00ED510A"/>
    <w:rsid w:val="00EE3A87"/>
    <w:rsid w:val="00EE63C4"/>
    <w:rsid w:val="00EF020D"/>
    <w:rsid w:val="00EF36B7"/>
    <w:rsid w:val="00EF36CE"/>
    <w:rsid w:val="00EF4CED"/>
    <w:rsid w:val="00F0406D"/>
    <w:rsid w:val="00F04B44"/>
    <w:rsid w:val="00F05023"/>
    <w:rsid w:val="00F07C59"/>
    <w:rsid w:val="00F07E56"/>
    <w:rsid w:val="00F11E3D"/>
    <w:rsid w:val="00F1681B"/>
    <w:rsid w:val="00F20410"/>
    <w:rsid w:val="00F20812"/>
    <w:rsid w:val="00F20AEA"/>
    <w:rsid w:val="00F20BEA"/>
    <w:rsid w:val="00F32C71"/>
    <w:rsid w:val="00F35C5C"/>
    <w:rsid w:val="00F37A22"/>
    <w:rsid w:val="00F416B5"/>
    <w:rsid w:val="00F44942"/>
    <w:rsid w:val="00F50686"/>
    <w:rsid w:val="00F50FAD"/>
    <w:rsid w:val="00F54722"/>
    <w:rsid w:val="00F600B8"/>
    <w:rsid w:val="00F60E74"/>
    <w:rsid w:val="00F61572"/>
    <w:rsid w:val="00F61B12"/>
    <w:rsid w:val="00F64373"/>
    <w:rsid w:val="00F66CBB"/>
    <w:rsid w:val="00F67536"/>
    <w:rsid w:val="00F761BC"/>
    <w:rsid w:val="00F76DFF"/>
    <w:rsid w:val="00F923C5"/>
    <w:rsid w:val="00F93565"/>
    <w:rsid w:val="00F97D54"/>
    <w:rsid w:val="00FA0D7D"/>
    <w:rsid w:val="00FA363F"/>
    <w:rsid w:val="00FA4829"/>
    <w:rsid w:val="00FB4325"/>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C2B1A"/>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17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character" w:customStyle="1" w:styleId="Heading3Char">
    <w:name w:val="Heading 3 Char"/>
    <w:basedOn w:val="DefaultParagraphFont"/>
    <w:link w:val="Heading3"/>
    <w:uiPriority w:val="9"/>
    <w:rsid w:val="006317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5468519">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4738120">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19161327">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2257256">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054324">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44036572">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98824443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9514721">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9048429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81809241">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54883363">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DBA9-574D-4304-8AF5-59AEDFBE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5059</Words>
  <Characters>28841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Windows User</cp:lastModifiedBy>
  <cp:revision>3</cp:revision>
  <cp:lastPrinted>2021-11-29T18:47:00Z</cp:lastPrinted>
  <dcterms:created xsi:type="dcterms:W3CDTF">2022-05-27T08:48:00Z</dcterms:created>
  <dcterms:modified xsi:type="dcterms:W3CDTF">2022-05-27T09:20:00Z</dcterms:modified>
</cp:coreProperties>
</file>